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E1" w:rsidRDefault="00E74329">
      <w:pPr>
        <w:spacing w:after="0" w:line="259" w:lineRule="auto"/>
        <w:ind w:left="0" w:firstLine="0"/>
        <w:jc w:val="right"/>
      </w:pPr>
      <w:bookmarkStart w:id="0" w:name="_GoBack"/>
      <w:bookmarkEnd w:id="0"/>
      <w:r>
        <w:t xml:space="preserve"> </w:t>
      </w:r>
    </w:p>
    <w:p w:rsidR="00F932E1" w:rsidRDefault="00E74329">
      <w:pPr>
        <w:ind w:left="72" w:right="53"/>
      </w:pPr>
      <w:r>
        <w:t xml:space="preserve">Spis:  </w:t>
      </w:r>
    </w:p>
    <w:p w:rsidR="00F932E1" w:rsidRDefault="00E74329">
      <w:pPr>
        <w:ind w:left="72" w:right="53"/>
      </w:pPr>
      <w:r>
        <w:t xml:space="preserve">Číslo záznamu:  </w:t>
      </w:r>
    </w:p>
    <w:p w:rsidR="00F932E1" w:rsidRDefault="00E74329">
      <w:pPr>
        <w:spacing w:after="0" w:line="259" w:lineRule="auto"/>
        <w:ind w:left="77" w:firstLine="0"/>
        <w:jc w:val="center"/>
      </w:pPr>
      <w:r>
        <w:t xml:space="preserve"> </w:t>
      </w:r>
    </w:p>
    <w:p w:rsidR="00F932E1" w:rsidRDefault="00E74329">
      <w:pPr>
        <w:spacing w:line="259" w:lineRule="auto"/>
        <w:ind w:left="389" w:right="363"/>
        <w:jc w:val="center"/>
      </w:pPr>
      <w:r>
        <w:rPr>
          <w:b/>
        </w:rPr>
        <w:t xml:space="preserve">D O H O D A č. 25/07/010/22 </w:t>
      </w:r>
    </w:p>
    <w:p w:rsidR="00F932E1" w:rsidRDefault="00E74329">
      <w:pPr>
        <w:spacing w:line="269" w:lineRule="auto"/>
        <w:ind w:left="24" w:right="2"/>
        <w:jc w:val="center"/>
      </w:pPr>
      <w:r>
        <w:t xml:space="preserve">uzatvorená podľa § 10 ods. 12, § 26 ods. 2 písm. g) a ďalších </w:t>
      </w:r>
    </w:p>
    <w:p w:rsidR="00F932E1" w:rsidRDefault="00E74329">
      <w:pPr>
        <w:spacing w:line="269" w:lineRule="auto"/>
        <w:ind w:left="24"/>
        <w:jc w:val="center"/>
      </w:pPr>
      <w:r>
        <w:t xml:space="preserve">zákona č. 417/2013 Z. z. o pomoci v hmotnej núdzi a o zmene a doplnení niektorých zákonov </w:t>
      </w:r>
    </w:p>
    <w:p w:rsidR="00F932E1" w:rsidRDefault="00E74329">
      <w:pPr>
        <w:ind w:left="493" w:right="53"/>
      </w:pPr>
      <w:r>
        <w:t xml:space="preserve">v znení neskorších predpisov a </w:t>
      </w:r>
      <w:r>
        <w:t xml:space="preserve">ust. § 51 zákona č. 40/1964 Zb. Občiansky zákonník v znení </w:t>
      </w:r>
    </w:p>
    <w:p w:rsidR="00F932E1" w:rsidRDefault="00E74329">
      <w:pPr>
        <w:spacing w:line="269" w:lineRule="auto"/>
        <w:ind w:left="3599" w:right="3514"/>
        <w:jc w:val="center"/>
      </w:pPr>
      <w:r>
        <w:t xml:space="preserve">neskorších predpisov (ďalej len „dohoda“) </w:t>
      </w:r>
    </w:p>
    <w:p w:rsidR="00F932E1" w:rsidRDefault="00E74329">
      <w:pPr>
        <w:spacing w:after="18" w:line="259" w:lineRule="auto"/>
        <w:ind w:left="77" w:firstLine="0"/>
        <w:jc w:val="center"/>
      </w:pPr>
      <w:r>
        <w:rPr>
          <w:b/>
        </w:rPr>
        <w:t xml:space="preserve"> </w:t>
      </w:r>
    </w:p>
    <w:p w:rsidR="00F932E1" w:rsidRDefault="00E74329">
      <w:pPr>
        <w:numPr>
          <w:ilvl w:val="0"/>
          <w:numId w:val="1"/>
        </w:numPr>
        <w:ind w:left="490" w:right="49" w:hanging="428"/>
      </w:pPr>
      <w:r>
        <w:t xml:space="preserve">Úrad práce, sociálnych vecí a rodiny Senica </w:t>
      </w:r>
    </w:p>
    <w:p w:rsidR="00F932E1" w:rsidRDefault="00E74329">
      <w:pPr>
        <w:ind w:left="514" w:right="53"/>
      </w:pPr>
      <w:r>
        <w:t xml:space="preserve">Sídlo: Vajanského 17, 905 01  Senica  </w:t>
      </w:r>
    </w:p>
    <w:p w:rsidR="00F932E1" w:rsidRDefault="00E74329">
      <w:pPr>
        <w:numPr>
          <w:ilvl w:val="1"/>
          <w:numId w:val="1"/>
        </w:numPr>
        <w:ind w:right="3498"/>
      </w:pPr>
      <w:r>
        <w:t xml:space="preserve">mene ktorého koná: Ing. Martin Ružička, riaditeľ úradu </w:t>
      </w:r>
      <w:r>
        <w:t xml:space="preserve">IČO: 30794536 </w:t>
      </w:r>
    </w:p>
    <w:p w:rsidR="00F932E1" w:rsidRDefault="00E74329">
      <w:pPr>
        <w:ind w:left="4829" w:right="4826" w:hanging="4767"/>
      </w:pPr>
      <w:r>
        <w:t xml:space="preserve">(ďalej len „úrad“) a </w:t>
      </w:r>
    </w:p>
    <w:p w:rsidR="00F932E1" w:rsidRDefault="00E74329">
      <w:pPr>
        <w:spacing w:after="33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1"/>
        </w:numPr>
        <w:spacing w:after="25" w:line="258" w:lineRule="auto"/>
        <w:ind w:left="490" w:right="49" w:hanging="428"/>
      </w:pPr>
      <w:r>
        <w:rPr>
          <w:b/>
        </w:rPr>
        <w:t>Rozpočtová organizácia, ktorej zriaďovateľom je obec</w:t>
      </w:r>
      <w:r>
        <w:t xml:space="preserve">  </w:t>
      </w:r>
    </w:p>
    <w:p w:rsidR="00F932E1" w:rsidRDefault="00E74329">
      <w:pPr>
        <w:spacing w:after="25" w:line="258" w:lineRule="auto"/>
        <w:ind w:left="514" w:right="3717"/>
      </w:pPr>
      <w:r>
        <w:rPr>
          <w:b/>
        </w:rPr>
        <w:t xml:space="preserve">Materská škola, L. Novomeského 1209/2, Senica </w:t>
      </w:r>
      <w:r>
        <w:t xml:space="preserve">Sídlo: L. Novomeského 1209/2, Senica </w:t>
      </w:r>
    </w:p>
    <w:p w:rsidR="00F932E1" w:rsidRDefault="00E74329">
      <w:pPr>
        <w:numPr>
          <w:ilvl w:val="1"/>
          <w:numId w:val="1"/>
        </w:numPr>
        <w:ind w:right="3498"/>
      </w:pPr>
      <w:r>
        <w:t xml:space="preserve">mene ktorého koná:  Renáta Rýzková, riaditeľka IČO: 37840550 </w:t>
      </w:r>
    </w:p>
    <w:p w:rsidR="00F932E1" w:rsidRDefault="00E74329">
      <w:pPr>
        <w:spacing w:after="54"/>
        <w:ind w:left="72" w:right="53"/>
      </w:pPr>
      <w:r>
        <w:t>(ďalej len „orga</w:t>
      </w:r>
      <w:r>
        <w:t xml:space="preserve">nizátor“) </w:t>
      </w:r>
    </w:p>
    <w:p w:rsidR="00F932E1" w:rsidRDefault="00E74329">
      <w:pPr>
        <w:ind w:left="72" w:right="53"/>
      </w:pPr>
      <w:r>
        <w:t xml:space="preserve">(úrad a organizátor ďalej spolu ako aj „účastníci dohody “) </w:t>
      </w:r>
    </w:p>
    <w:p w:rsidR="00F932E1" w:rsidRDefault="00E74329">
      <w:pPr>
        <w:spacing w:after="0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spacing w:line="259" w:lineRule="auto"/>
        <w:ind w:left="389" w:right="364"/>
        <w:jc w:val="center"/>
      </w:pPr>
      <w:r>
        <w:rPr>
          <w:b/>
        </w:rPr>
        <w:t xml:space="preserve">Preambula </w:t>
      </w:r>
    </w:p>
    <w:p w:rsidR="00F932E1" w:rsidRDefault="00E74329">
      <w:pPr>
        <w:spacing w:after="19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ind w:left="72" w:right="53"/>
      </w:pPr>
      <w:r>
        <w:t xml:space="preserve">Účelom uzatvorenia tejto dohody je najmä aplikácia § 10 zákona č. 417/2013 Z. z. o pomoci v hmotnej núdzi a o zmene a doplnení niektorých zákonov v </w:t>
      </w:r>
      <w:r>
        <w:t xml:space="preserve">znení neskorších predpisov (ďalej len </w:t>
      </w:r>
    </w:p>
    <w:p w:rsidR="00F932E1" w:rsidRDefault="00E74329">
      <w:pPr>
        <w:ind w:left="72" w:right="53"/>
      </w:pPr>
      <w:r>
        <w:t xml:space="preserve">„zákon o pomoci v hmotnej núdzi“) do praxe. </w:t>
      </w:r>
    </w:p>
    <w:p w:rsidR="00F932E1" w:rsidRDefault="00E74329">
      <w:pPr>
        <w:spacing w:after="24" w:line="259" w:lineRule="auto"/>
        <w:ind w:left="77" w:firstLine="0"/>
        <w:jc w:val="center"/>
      </w:pPr>
      <w:r>
        <w:rPr>
          <w:b/>
        </w:rPr>
        <w:t xml:space="preserve"> </w:t>
      </w:r>
    </w:p>
    <w:p w:rsidR="00F932E1" w:rsidRDefault="00E74329">
      <w:pPr>
        <w:spacing w:line="259" w:lineRule="auto"/>
        <w:ind w:left="389" w:right="363"/>
        <w:jc w:val="center"/>
      </w:pPr>
      <w:r>
        <w:rPr>
          <w:b/>
        </w:rPr>
        <w:t xml:space="preserve">Článok I </w:t>
      </w:r>
    </w:p>
    <w:p w:rsidR="00F932E1" w:rsidRDefault="00E74329">
      <w:pPr>
        <w:spacing w:line="259" w:lineRule="auto"/>
        <w:ind w:left="389" w:right="363"/>
        <w:jc w:val="center"/>
      </w:pPr>
      <w:r>
        <w:rPr>
          <w:b/>
        </w:rPr>
        <w:t xml:space="preserve">Predmet dohody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2"/>
        </w:numPr>
        <w:ind w:left="490" w:right="53" w:hanging="428"/>
      </w:pPr>
      <w:r>
        <w:t>Predmetom tejto dohody je záväzok organizátora realizovať činnosť bližšie špecifikovanú v článku II tejto dohody, a to prostredníctvom osôb p</w:t>
      </w:r>
      <w:r>
        <w:t xml:space="preserve">odľa § 1 ods. 2 zákona o pomoci v hmotnej núdzi nachádzajúcich sa v hmotnej núdzi podľa podmienok zákona o pomoci v hmotnej núdzi (ďalej len „občania“), ktorých účasť na týchto činnostiach zabezpečí úrad. </w:t>
      </w:r>
    </w:p>
    <w:p w:rsidR="00F932E1" w:rsidRDefault="00E74329">
      <w:pPr>
        <w:spacing w:after="24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2"/>
        </w:numPr>
        <w:ind w:left="490" w:right="53" w:hanging="428"/>
      </w:pPr>
      <w:r>
        <w:t>Za občana sa na účely tejto dohody považuje pln</w:t>
      </w:r>
      <w:r>
        <w:t xml:space="preserve">oletý člen domácnosti podľa § 10 ods. 3 zákona o pomoci v hmotnej núdzi okrem členov domácnosti podľa § 10 ods. 8 a 9 zákona o pomoci v hmotnej núdzi.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2"/>
        </w:numPr>
        <w:ind w:left="490" w:right="53" w:hanging="428"/>
      </w:pPr>
      <w:r>
        <w:t>Predmetom tejto dohody je aj úprava práv a  povinností účastníkov dohody pri zabezpečení realizácie č</w:t>
      </w:r>
      <w:r>
        <w:t xml:space="preserve">innosti v zmysle článku II tejto dohody a vytvorenie podmienok občanom na splnenie zákonných predpokladov pre poskytnutie dávky v hmotnej núdzi.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line="259" w:lineRule="auto"/>
        <w:ind w:left="389" w:right="361"/>
        <w:jc w:val="center"/>
      </w:pPr>
      <w:r>
        <w:rPr>
          <w:b/>
        </w:rPr>
        <w:t xml:space="preserve">Článok II </w:t>
      </w:r>
    </w:p>
    <w:p w:rsidR="00F932E1" w:rsidRDefault="00E74329">
      <w:pPr>
        <w:spacing w:line="259" w:lineRule="auto"/>
        <w:ind w:left="389" w:right="363"/>
        <w:jc w:val="center"/>
      </w:pPr>
      <w:r>
        <w:rPr>
          <w:b/>
        </w:rPr>
        <w:lastRenderedPageBreak/>
        <w:t xml:space="preserve">Podmienky výkonu činnosti </w:t>
      </w:r>
    </w:p>
    <w:p w:rsidR="00F932E1" w:rsidRDefault="00E74329">
      <w:pPr>
        <w:spacing w:after="21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 xml:space="preserve">Výkon činnosti občanov bližšie špecifikovanej v </w:t>
      </w:r>
      <w:r>
        <w:t xml:space="preserve">odseku 4 tohto článku sa uskutočňuje v rozsahu 32 hodín mesačne určených pre jedného občana alebo v rozsahu hodín podľa § 10 ods. 3 zákona o pomoci v hmotnej núdzi pre jedného občana, a to formou: </w:t>
      </w:r>
    </w:p>
    <w:p w:rsidR="00F932E1" w:rsidRDefault="00E74329">
      <w:pPr>
        <w:ind w:left="756" w:right="53" w:hanging="338"/>
      </w:pPr>
      <w:r>
        <w:t>a)</w:t>
      </w:r>
      <w:r>
        <w:rPr>
          <w:rFonts w:ascii="Arial" w:eastAsia="Arial" w:hAnsi="Arial" w:cs="Arial"/>
        </w:rPr>
        <w:t xml:space="preserve"> </w:t>
      </w:r>
      <w:r>
        <w:t>menších obecných služieb pre obec, rozpočtovú organizác</w:t>
      </w:r>
      <w:r>
        <w:t xml:space="preserve">iu, ktorej zriaďovateľom je obec, príspevkovú organizáciu, ktorej zriaďovateľom je obec.  </w:t>
      </w:r>
    </w:p>
    <w:p w:rsidR="00F932E1" w:rsidRDefault="00E74329">
      <w:pPr>
        <w:spacing w:after="0" w:line="259" w:lineRule="auto"/>
        <w:ind w:left="756" w:firstLine="0"/>
        <w:jc w:val="left"/>
      </w:pPr>
      <w:r>
        <w:t xml:space="preserve"> </w:t>
      </w:r>
    </w:p>
    <w:p w:rsidR="00F932E1" w:rsidRDefault="00E74329">
      <w:pPr>
        <w:spacing w:after="0" w:line="259" w:lineRule="auto"/>
        <w:ind w:left="785" w:firstLine="0"/>
        <w:jc w:val="left"/>
      </w:pPr>
      <w:r>
        <w:t xml:space="preserve"> </w:t>
      </w:r>
    </w:p>
    <w:p w:rsidR="00F932E1" w:rsidRDefault="00E74329">
      <w:pPr>
        <w:spacing w:after="13" w:line="259" w:lineRule="auto"/>
        <w:ind w:left="785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 xml:space="preserve">Organizátor je povinný zabezpečiť vykonávanie aktivačnej činnosti v dobe od 01.01.2026 do </w:t>
      </w:r>
    </w:p>
    <w:p w:rsidR="00F932E1" w:rsidRDefault="00E74329">
      <w:pPr>
        <w:ind w:left="447" w:right="53"/>
      </w:pPr>
      <w:r>
        <w:t xml:space="preserve">31.12.2026. </w:t>
      </w:r>
    </w:p>
    <w:p w:rsidR="00F932E1" w:rsidRDefault="00E74329">
      <w:pPr>
        <w:spacing w:after="21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 xml:space="preserve">Miesto výkonu činnosti: </w:t>
      </w:r>
    </w:p>
    <w:p w:rsidR="00F932E1" w:rsidRDefault="00E74329">
      <w:pPr>
        <w:ind w:left="514" w:right="53"/>
      </w:pPr>
      <w:r>
        <w:t xml:space="preserve">Elokované pracoviská MŠ v Senici: </w:t>
      </w:r>
    </w:p>
    <w:p w:rsidR="00F932E1" w:rsidRDefault="00E74329">
      <w:pPr>
        <w:ind w:left="514" w:right="53"/>
      </w:pPr>
      <w:r>
        <w:t xml:space="preserve">Kalinčiakova 294, </w:t>
      </w:r>
    </w:p>
    <w:p w:rsidR="00F932E1" w:rsidRDefault="00E74329">
      <w:pPr>
        <w:ind w:left="514" w:right="53"/>
      </w:pPr>
      <w:r>
        <w:t xml:space="preserve">Kolónia 554, </w:t>
      </w:r>
    </w:p>
    <w:p w:rsidR="00F932E1" w:rsidRDefault="00E74329">
      <w:pPr>
        <w:ind w:left="514" w:right="53"/>
      </w:pPr>
      <w:r>
        <w:t xml:space="preserve">Robotnícka114/6, </w:t>
      </w:r>
    </w:p>
    <w:p w:rsidR="00F932E1" w:rsidRDefault="00E74329">
      <w:pPr>
        <w:ind w:left="514" w:right="53"/>
      </w:pPr>
      <w:r>
        <w:t xml:space="preserve">Martina Bartoňa 5171/5, </w:t>
      </w:r>
    </w:p>
    <w:p w:rsidR="00F932E1" w:rsidRDefault="00E74329">
      <w:pPr>
        <w:ind w:left="514" w:right="53"/>
      </w:pPr>
      <w:r>
        <w:t xml:space="preserve">J. Kráľa 729, </w:t>
      </w:r>
    </w:p>
    <w:p w:rsidR="00F932E1" w:rsidRDefault="00E74329">
      <w:pPr>
        <w:ind w:left="514" w:right="53"/>
      </w:pPr>
      <w:r>
        <w:t xml:space="preserve">Komenského 1039, </w:t>
      </w:r>
    </w:p>
    <w:p w:rsidR="00F932E1" w:rsidRDefault="00E74329">
      <w:pPr>
        <w:ind w:left="514" w:right="53"/>
      </w:pPr>
      <w:r>
        <w:t xml:space="preserve">Hollého 744, </w:t>
      </w:r>
    </w:p>
    <w:p w:rsidR="00F932E1" w:rsidRDefault="00E74329">
      <w:pPr>
        <w:ind w:left="514" w:right="53"/>
      </w:pPr>
      <w:r>
        <w:t xml:space="preserve">L. Novomeského 1209/2.  </w:t>
      </w:r>
    </w:p>
    <w:p w:rsidR="00F932E1" w:rsidRDefault="00E74329">
      <w:pPr>
        <w:spacing w:after="18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 xml:space="preserve">Druh činnosti: </w:t>
      </w:r>
      <w:r>
        <w:rPr>
          <w:i/>
        </w:rPr>
        <w:t xml:space="preserve"> </w:t>
      </w:r>
    </w:p>
    <w:p w:rsidR="00F932E1" w:rsidRDefault="00E74329">
      <w:pPr>
        <w:spacing w:after="37" w:line="259" w:lineRule="auto"/>
        <w:ind w:left="437" w:firstLine="0"/>
        <w:jc w:val="left"/>
      </w:pPr>
      <w:r>
        <w:t xml:space="preserve"> </w:t>
      </w:r>
    </w:p>
    <w:p w:rsidR="00F932E1" w:rsidRDefault="00E74329">
      <w:pPr>
        <w:numPr>
          <w:ilvl w:val="1"/>
          <w:numId w:val="5"/>
        </w:numPr>
        <w:spacing w:after="42"/>
        <w:ind w:right="53" w:hanging="139"/>
      </w:pPr>
      <w:r>
        <w:t>tvorba, ochrana, udržiavanie a zlepšovanie životného</w:t>
      </w:r>
      <w:r>
        <w:t xml:space="preserve"> prostredia a ekonomických podmienok obyvateľov obce </w:t>
      </w:r>
    </w:p>
    <w:p w:rsidR="00F932E1" w:rsidRDefault="00E74329">
      <w:pPr>
        <w:numPr>
          <w:ilvl w:val="1"/>
          <w:numId w:val="5"/>
        </w:numPr>
        <w:spacing w:after="40"/>
        <w:ind w:right="53" w:hanging="139"/>
      </w:pPr>
      <w:r>
        <w:t xml:space="preserve">starostlivosť, rozvoj, ochrana a zachovanie kultúrneho dedičstva </w:t>
      </w:r>
    </w:p>
    <w:p w:rsidR="00F932E1" w:rsidRDefault="00E74329">
      <w:pPr>
        <w:numPr>
          <w:ilvl w:val="1"/>
          <w:numId w:val="5"/>
        </w:numPr>
        <w:spacing w:after="45"/>
        <w:ind w:right="53" w:hanging="139"/>
      </w:pPr>
      <w:r>
        <w:t xml:space="preserve">podpora vzdelávania </w:t>
      </w:r>
    </w:p>
    <w:p w:rsidR="00F932E1" w:rsidRDefault="00E74329">
      <w:pPr>
        <w:numPr>
          <w:ilvl w:val="1"/>
          <w:numId w:val="5"/>
        </w:numPr>
        <w:spacing w:after="42"/>
        <w:ind w:right="53" w:hanging="139"/>
      </w:pPr>
      <w:r>
        <w:t xml:space="preserve">rozvoj a poskytovanie sociálnych služieb a ďalších činností v sociálnej oblasti </w:t>
      </w:r>
    </w:p>
    <w:p w:rsidR="00F932E1" w:rsidRDefault="00E74329">
      <w:pPr>
        <w:numPr>
          <w:ilvl w:val="1"/>
          <w:numId w:val="5"/>
        </w:numPr>
        <w:spacing w:after="59"/>
        <w:ind w:right="53" w:hanging="139"/>
      </w:pPr>
      <w:r>
        <w:t xml:space="preserve">napomáhanie udržiavania poriadku v obci  </w:t>
      </w:r>
    </w:p>
    <w:p w:rsidR="00F932E1" w:rsidRDefault="00E74329">
      <w:pPr>
        <w:numPr>
          <w:ilvl w:val="1"/>
          <w:numId w:val="5"/>
        </w:numPr>
        <w:spacing w:after="61"/>
        <w:ind w:right="53" w:hanging="139"/>
      </w:pPr>
      <w:r>
        <w:t xml:space="preserve">ďalšie činnosti </w:t>
      </w:r>
    </w:p>
    <w:p w:rsidR="00F932E1" w:rsidRDefault="00E74329">
      <w:pPr>
        <w:spacing w:after="18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>Denné časové vymedzenie resp. počet hodín vykonávania činnosti: 8.00 o 12.00 hod.</w:t>
      </w:r>
      <w:r>
        <w:rPr>
          <w:i/>
        </w:rPr>
        <w:t xml:space="preserve"> </w:t>
      </w:r>
      <w:r>
        <w:t xml:space="preserve">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 xml:space="preserve">Denné časové vymedzenie podľa predchádzajúceho odseku možno zmeniť, ak: </w:t>
      </w:r>
      <w:r>
        <w:rPr>
          <w:i/>
        </w:rPr>
        <w:t xml:space="preserve"> </w:t>
      </w:r>
    </w:p>
    <w:p w:rsidR="00F932E1" w:rsidRDefault="00E74329">
      <w:pPr>
        <w:numPr>
          <w:ilvl w:val="1"/>
          <w:numId w:val="4"/>
        </w:numPr>
        <w:ind w:right="53" w:hanging="360"/>
      </w:pPr>
      <w:r>
        <w:t>sa jedná o zmenu dlhodobú (zmena trv</w:t>
      </w:r>
      <w:r>
        <w:t>ajúca viac ako 30 dní) dohodou účastníkov dohody vo forme písomného dodatku k tejto dohode,</w:t>
      </w:r>
      <w:r>
        <w:rPr>
          <w:i/>
        </w:rPr>
        <w:t xml:space="preserve"> </w:t>
      </w:r>
    </w:p>
    <w:p w:rsidR="00F932E1" w:rsidRDefault="00E74329">
      <w:pPr>
        <w:numPr>
          <w:ilvl w:val="1"/>
          <w:numId w:val="4"/>
        </w:numPr>
        <w:ind w:right="53" w:hanging="360"/>
      </w:pPr>
      <w:r>
        <w:t>sa jedná o zmenu krátkodobú (zmena trvajúca najviac 30 dní) oznámením organizátora úradu v elektronickej podobe.</w:t>
      </w:r>
      <w:r>
        <w:rPr>
          <w:i/>
        </w:rPr>
        <w:t xml:space="preserve">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3"/>
        </w:numPr>
        <w:ind w:right="53" w:hanging="360"/>
      </w:pPr>
      <w:r>
        <w:t>Počet vytvorených miest pre občanov, ktorí bud</w:t>
      </w:r>
      <w:r>
        <w:t xml:space="preserve">ú zabezpečovať činnosti podľa odseku 4 tohto </w:t>
      </w:r>
    </w:p>
    <w:p w:rsidR="00F932E1" w:rsidRDefault="00E74329">
      <w:pPr>
        <w:ind w:left="447" w:right="53"/>
      </w:pPr>
      <w:r>
        <w:t xml:space="preserve">článku, najviac: 6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line="259" w:lineRule="auto"/>
        <w:ind w:left="389" w:right="364"/>
        <w:jc w:val="center"/>
      </w:pPr>
      <w:r>
        <w:rPr>
          <w:b/>
        </w:rPr>
        <w:t xml:space="preserve">Článok III </w:t>
      </w:r>
    </w:p>
    <w:p w:rsidR="00F932E1" w:rsidRDefault="00E74329">
      <w:pPr>
        <w:spacing w:line="259" w:lineRule="auto"/>
        <w:ind w:left="389" w:right="362"/>
        <w:jc w:val="center"/>
      </w:pPr>
      <w:r>
        <w:rPr>
          <w:b/>
        </w:rPr>
        <w:t xml:space="preserve">Práva a povinnosti úradu </w:t>
      </w:r>
    </w:p>
    <w:p w:rsidR="00F932E1" w:rsidRDefault="00E74329">
      <w:pPr>
        <w:spacing w:after="25" w:line="259" w:lineRule="auto"/>
        <w:ind w:left="435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6"/>
        </w:numPr>
        <w:ind w:right="53" w:hanging="360"/>
      </w:pPr>
      <w:r>
        <w:lastRenderedPageBreak/>
        <w:t xml:space="preserve">Úrad bude obsadzovať občanmi miesta vytvorené organizátorom v zmysle článku II bod 7 tejto dohody v prípade, že nimi bude disponovať.  </w:t>
      </w:r>
    </w:p>
    <w:p w:rsidR="00F932E1" w:rsidRDefault="00E74329">
      <w:pPr>
        <w:spacing w:after="22" w:line="259" w:lineRule="auto"/>
        <w:ind w:left="435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6"/>
        </w:numPr>
        <w:ind w:right="53" w:hanging="360"/>
      </w:pPr>
      <w:r>
        <w:t xml:space="preserve">Úrad sa zaväzuje zabezpečiť: </w:t>
      </w:r>
    </w:p>
    <w:p w:rsidR="00F932E1" w:rsidRDefault="00E74329">
      <w:pPr>
        <w:numPr>
          <w:ilvl w:val="1"/>
          <w:numId w:val="6"/>
        </w:numPr>
        <w:ind w:right="53" w:hanging="338"/>
      </w:pPr>
      <w:r>
        <w:t xml:space="preserve">úrazové poistenie, </w:t>
      </w:r>
    </w:p>
    <w:p w:rsidR="00F932E1" w:rsidRDefault="00E74329">
      <w:pPr>
        <w:numPr>
          <w:ilvl w:val="1"/>
          <w:numId w:val="6"/>
        </w:numPr>
        <w:ind w:right="53" w:hanging="338"/>
      </w:pPr>
      <w:r>
        <w:t xml:space="preserve">evidenciu, vydávanie OOPP a PP  organizátorovi činnosti. </w:t>
      </w:r>
    </w:p>
    <w:p w:rsidR="00F932E1" w:rsidRDefault="00E74329">
      <w:pPr>
        <w:spacing w:after="0" w:line="259" w:lineRule="auto"/>
        <w:ind w:left="77" w:firstLine="0"/>
        <w:jc w:val="left"/>
      </w:pPr>
      <w:r>
        <w:rPr>
          <w:i/>
        </w:rPr>
        <w:t xml:space="preserve"> </w:t>
      </w:r>
    </w:p>
    <w:p w:rsidR="00F932E1" w:rsidRDefault="00E74329">
      <w:pPr>
        <w:spacing w:after="25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6"/>
        </w:numPr>
        <w:ind w:right="53" w:hanging="360"/>
      </w:pPr>
      <w:r>
        <w:t>Úrad môže zabezpečiť, koordinovať a kontrolovať účasť občanov na činnostiach v zmysle článku II. bod 1 písm. a) tejto dohody a zaznamenávať skut</w:t>
      </w:r>
      <w:r>
        <w:t xml:space="preserve">očnosti zistené pri výkone činností v zmysle </w:t>
      </w:r>
    </w:p>
    <w:p w:rsidR="00F932E1" w:rsidRDefault="00E74329">
      <w:pPr>
        <w:ind w:left="447" w:right="53"/>
      </w:pPr>
      <w:r>
        <w:t xml:space="preserve">§ 10 zákona o pomoci v hmotnej núdzi a prejednávať ich s organizátorom. </w:t>
      </w:r>
    </w:p>
    <w:p w:rsidR="00F932E1" w:rsidRDefault="00E74329">
      <w:pPr>
        <w:spacing w:after="0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spacing w:after="25" w:line="259" w:lineRule="auto"/>
        <w:ind w:left="389" w:right="363"/>
        <w:jc w:val="center"/>
      </w:pPr>
      <w:r>
        <w:rPr>
          <w:b/>
        </w:rPr>
        <w:t xml:space="preserve">Článok IV </w:t>
      </w:r>
    </w:p>
    <w:p w:rsidR="00F932E1" w:rsidRDefault="00E74329">
      <w:pPr>
        <w:spacing w:line="259" w:lineRule="auto"/>
        <w:ind w:left="389" w:right="366"/>
        <w:jc w:val="center"/>
      </w:pPr>
      <w:r>
        <w:rPr>
          <w:b/>
        </w:rPr>
        <w:t xml:space="preserve">Práva a povinnosti organizátora </w:t>
      </w:r>
    </w:p>
    <w:p w:rsidR="00F932E1" w:rsidRDefault="00E74329">
      <w:pPr>
        <w:spacing w:after="25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ind w:right="53" w:hanging="360"/>
      </w:pPr>
      <w:r>
        <w:t xml:space="preserve">Organizátor sa zaväzuje zabezpečiť dodržiavanie dohodnutých podmienok počas celého obdobia trvania dohody.  </w:t>
      </w:r>
    </w:p>
    <w:p w:rsidR="00F932E1" w:rsidRDefault="00E74329">
      <w:pPr>
        <w:numPr>
          <w:ilvl w:val="0"/>
          <w:numId w:val="7"/>
        </w:numPr>
        <w:spacing w:after="133"/>
        <w:ind w:right="53" w:hanging="360"/>
      </w:pPr>
      <w:r>
        <w:t xml:space="preserve">Organizátor sa zaväzuje zabezpečiť pre občana: </w:t>
      </w:r>
    </w:p>
    <w:p w:rsidR="00F932E1" w:rsidRDefault="00E74329">
      <w:pPr>
        <w:numPr>
          <w:ilvl w:val="1"/>
          <w:numId w:val="7"/>
        </w:numPr>
        <w:ind w:right="53" w:hanging="355"/>
      </w:pPr>
      <w:r>
        <w:t xml:space="preserve">vybrané druhy OOPP, </w:t>
      </w:r>
    </w:p>
    <w:p w:rsidR="00F932E1" w:rsidRDefault="00E74329">
      <w:pPr>
        <w:numPr>
          <w:ilvl w:val="1"/>
          <w:numId w:val="7"/>
        </w:numPr>
        <w:ind w:right="53" w:hanging="355"/>
      </w:pPr>
      <w:r>
        <w:t xml:space="preserve">vybrané druhy PP, </w:t>
      </w:r>
    </w:p>
    <w:p w:rsidR="00F932E1" w:rsidRDefault="00E74329">
      <w:pPr>
        <w:numPr>
          <w:ilvl w:val="1"/>
          <w:numId w:val="7"/>
        </w:numPr>
        <w:ind w:right="53" w:hanging="355"/>
      </w:pPr>
      <w:r>
        <w:t>zdravotné preukazy občanov, ak to charakter činností vyžadu</w:t>
      </w:r>
      <w:r>
        <w:t xml:space="preserve">je, </w:t>
      </w:r>
    </w:p>
    <w:p w:rsidR="00F932E1" w:rsidRDefault="00E74329">
      <w:pPr>
        <w:numPr>
          <w:ilvl w:val="1"/>
          <w:numId w:val="7"/>
        </w:numPr>
        <w:ind w:right="53" w:hanging="355"/>
      </w:pPr>
      <w:r>
        <w:t xml:space="preserve">úschovu, evidenciu OOPP a PP v prípade potreby, denné vydávanie  PP občanom a ich prevzatie a uskladnenie po skončení výkonu činnosti. </w:t>
      </w:r>
    </w:p>
    <w:p w:rsidR="00F932E1" w:rsidRDefault="00E74329">
      <w:pPr>
        <w:spacing w:after="0" w:line="259" w:lineRule="auto"/>
        <w:ind w:left="435" w:firstLine="0"/>
        <w:jc w:val="left"/>
      </w:pPr>
      <w:r>
        <w:t xml:space="preserve"> </w:t>
      </w:r>
    </w:p>
    <w:p w:rsidR="00F932E1" w:rsidRDefault="00E74329">
      <w:pPr>
        <w:spacing w:after="25" w:line="259" w:lineRule="auto"/>
        <w:ind w:left="504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ind w:right="53" w:hanging="360"/>
      </w:pPr>
      <w:r>
        <w:t>Organizátor je povinný zabezpečiť nielen v čase vyhlásenia mimoriadnej situácie, núdzového stavu alebo výnimočn</w:t>
      </w:r>
      <w:r>
        <w:t>ého stavu (ďalej len „krízová situácia“) a na ďalšie obdobie bezprostredne nasledujúce po skončení krízovej situácie, dodržiavanie všeobecných zásad prevencie a základných podmienok na zaistenie bezpečnosti a ochrany zdravia pri práci (ďalej len „BOZP) a n</w:t>
      </w:r>
      <w:r>
        <w:t>a vylúčenie rizík a faktorov podmieňujúcich vznik pracovných úrazov, chorôb z povolania a iných poškodení zdravia z práce podľa zákona č. 124/2006 Z. z. o BOZP a o zmene a doplnení niektorých zákonov v znení neskorších predpisov a dodržiavanie platných roz</w:t>
      </w:r>
      <w:r>
        <w:t>hodnutí, opatrení a usmernení vydaných Úradom verejného zdravotníctva Slovenskej republiky pre občanov vykonávajúcich činnosti podmieňujúce vznik nároku na dávku v hmotnej núdzi vo výške nezníženej podľa § 10 zákona o pomoci v hmotnej núdzi. Organizátor je</w:t>
      </w:r>
      <w:r>
        <w:t xml:space="preserve"> povinný zabezpečiť všetky OOPP, ktorých používanie vyplýva z platných rozhodnutí, opatrení a usmernení vydaných Úradom verejného zdravotníctva Slovenskej republiky z dôvodu vyhlásenia krízovej situácie.  </w:t>
      </w:r>
    </w:p>
    <w:p w:rsidR="00F932E1" w:rsidRDefault="00E74329">
      <w:pPr>
        <w:spacing w:after="25" w:line="259" w:lineRule="auto"/>
        <w:ind w:left="435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ind w:right="53" w:hanging="360"/>
      </w:pPr>
      <w:r>
        <w:t>Organizátor sa zaväzuje odovzdávať úradu mesačnú</w:t>
      </w:r>
      <w:r>
        <w:t xml:space="preserve"> evidenciu dochádzky občanov nasledovným spôsobom: </w:t>
      </w:r>
      <w:r>
        <w:rPr>
          <w:i/>
        </w:rPr>
        <w:t xml:space="preserve"> </w:t>
      </w:r>
      <w:r>
        <w:t xml:space="preserve">osobne, prípadne e- mailom na dohodnutú adresu.  </w:t>
      </w:r>
    </w:p>
    <w:p w:rsidR="00F932E1" w:rsidRDefault="00E74329">
      <w:pPr>
        <w:spacing w:after="25" w:line="259" w:lineRule="auto"/>
        <w:ind w:left="43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spacing w:after="0" w:line="258" w:lineRule="auto"/>
        <w:ind w:right="53" w:hanging="360"/>
      </w:pPr>
      <w:r>
        <w:t>Organizátor sa zaväzuje predložiť mesačnú evidenciu dochádzky občanov úradu</w:t>
      </w:r>
      <w:r>
        <w:rPr>
          <w:b/>
        </w:rPr>
        <w:t xml:space="preserve"> </w:t>
      </w:r>
      <w:r>
        <w:rPr>
          <w:b/>
        </w:rPr>
        <w:t>najneskôr 1. pracovný deň kalendárneho mesiaca nasledujúceho po mesiaci, za ktorý evidenciu predkladá</w:t>
      </w:r>
      <w:r>
        <w:t xml:space="preserve">.  </w:t>
      </w:r>
    </w:p>
    <w:p w:rsidR="00F932E1" w:rsidRDefault="00E74329">
      <w:pPr>
        <w:spacing w:after="25" w:line="259" w:lineRule="auto"/>
        <w:ind w:left="43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ind w:right="53" w:hanging="360"/>
      </w:pPr>
      <w:r>
        <w:t>Organizátor sa zaväzuje spolupracovať s úradom pri plnení článku III bod 3 tejto dohody, akceptovať záznamy z kontrol vykonávaných úradom a tieto uvá</w:t>
      </w:r>
      <w:r>
        <w:t xml:space="preserve">dzať pravdivo do mesačnej </w:t>
      </w:r>
      <w:r>
        <w:lastRenderedPageBreak/>
        <w:t xml:space="preserve">evidencie dochádzky občanov vypracovanej spôsobom dohodnutým v bode 4 tohto článku dohody. </w:t>
      </w:r>
    </w:p>
    <w:p w:rsidR="00F932E1" w:rsidRDefault="00E74329">
      <w:pPr>
        <w:spacing w:after="25" w:line="259" w:lineRule="auto"/>
        <w:ind w:left="437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7"/>
        </w:numPr>
        <w:ind w:right="53" w:hanging="360"/>
      </w:pPr>
      <w:r>
        <w:t>Organizátor je povinný pri plnení predmetu tejto dohody postupovať v súlade s Nariadením európskeho parlamentu a rady (EÚ) 2016/679 z 27</w:t>
      </w:r>
      <w:r>
        <w:t xml:space="preserve">. apríla 2016 o ochrane fyzických osôb pri spracovávaní osobných údajov a o voľnom pohybe takýchto údajov, ktorým sa zrušuje smernica 95/46/ES (všeobecné nariadenie o ochrane údajov).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after="26" w:line="259" w:lineRule="auto"/>
        <w:ind w:left="389"/>
        <w:jc w:val="center"/>
      </w:pPr>
      <w:r>
        <w:rPr>
          <w:b/>
        </w:rPr>
        <w:t xml:space="preserve">Článok V </w:t>
      </w:r>
    </w:p>
    <w:p w:rsidR="00F932E1" w:rsidRDefault="00E74329">
      <w:pPr>
        <w:spacing w:line="259" w:lineRule="auto"/>
        <w:ind w:left="389" w:right="3"/>
        <w:jc w:val="center"/>
      </w:pPr>
      <w:r>
        <w:rPr>
          <w:b/>
        </w:rPr>
        <w:t xml:space="preserve">Finančný príspevok na dopravu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Ak má organizátor s iným</w:t>
      </w:r>
      <w:r>
        <w:t xml:space="preserve"> organizátorom uzatvorenú zmluvu podľa § 20a zákona č. 369/1990 Zb. o obecnom zriadení v znení neskorších predpisov (ďalej len „zákon o obecnom zriadení“), ktorej účelom je uskutočnenie konkrétnej úlohy alebo činnosti so spoločným záujmom, môžu byť tieto č</w:t>
      </w:r>
      <w:r>
        <w:t xml:space="preserve">innosti vykonané členom domácnosti aj mimo územia obce, ktorej je člen domácnosti obyvateľom. 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Organizátor v prípade výkonu činností podľa bodu 1 tohto článku dohody sa zaväzuje zabezpečiť prepravu členov domácnosti mimo územného obvodu obce, ktorej sú</w:t>
      </w:r>
      <w:r>
        <w:t xml:space="preserve"> obyvateľmi. Podľa § 10 ods. 12 písm. f) zákona o pomoci v hmotnej núdzi je možné na prepravu členov domácnosti mimo územia obce poskytnúť organizátorovi finančný príspevok na čiastočnú úhradu nákladov na túto prepravu (ďalej len „ finančný príspevok na do</w:t>
      </w:r>
      <w:r>
        <w:t xml:space="preserve">pravu“).   </w:t>
      </w:r>
    </w:p>
    <w:p w:rsidR="00F932E1" w:rsidRDefault="00E74329">
      <w:pPr>
        <w:spacing w:after="24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 xml:space="preserve">Ak budú splnené podmienky na poskytnutie finančného príspevku na dopravu podľa bodu 4 a 5 tohto článku dohody, je možné príspevok poskytnúť najviac v sume:  </w:t>
      </w:r>
    </w:p>
    <w:p w:rsidR="00F932E1" w:rsidRDefault="00E74329">
      <w:pPr>
        <w:spacing w:after="32" w:line="259" w:lineRule="auto"/>
        <w:ind w:left="504" w:firstLine="0"/>
        <w:jc w:val="left"/>
      </w:pPr>
      <w:r>
        <w:t xml:space="preserve"> </w:t>
      </w:r>
      <w:r>
        <w:tab/>
        <w:t xml:space="preserve"> </w:t>
      </w:r>
    </w:p>
    <w:p w:rsidR="00F932E1" w:rsidRDefault="00E74329">
      <w:pPr>
        <w:ind w:left="512" w:right="647"/>
      </w:pPr>
      <w:r>
        <w:t>˗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30 eur mesačne na jedného člena domácnosti pri vzdialenosti nad 4 km do 10 km,  ˗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40 eur mesačne na jedného člena domácnosti pri vzdialenosti nad 10 km. </w:t>
      </w:r>
    </w:p>
    <w:p w:rsidR="00F932E1" w:rsidRDefault="00E74329">
      <w:pPr>
        <w:spacing w:after="24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Úrad poskytne organizátorovi finančný príspevok na dopravu, ak organizátor o príspevok požiada a ú</w:t>
      </w:r>
      <w:r>
        <w:t>rad má na základe žiadosti o príspevok a jej povinných príloh jednoznačne preukázané, že došlo k zabezpečeniu prepravy členov domácnosti na miesto výkonu činnosti mimo územia obce, a to v súlade so zmluvou podľa § 20a zákona o obecnom zriadení, ktorá je po</w:t>
      </w:r>
      <w:r>
        <w:t xml:space="preserve">vinnou prílohou žiadosti o príspevok. </w:t>
      </w:r>
    </w:p>
    <w:p w:rsidR="00F932E1" w:rsidRDefault="00E74329">
      <w:pPr>
        <w:spacing w:after="23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Žiadosť o poskytnutie príspevku predkladá úradu organizátor, ktorý prepravu zabezpečil a to najneskôr do 10. dňa kalendárneho mesiaca nasledujúceho po skončení kalendárneho mesiaca, v ktorom mu vznikli náklady na t</w:t>
      </w:r>
      <w:r>
        <w:t xml:space="preserve">úto prepravu. Ak organizátor nepredloží žiadosť o príspevok v stanovenej lehote, príspevok na dopravu za tento mesiac mu nebude možné poskytnúť. Tlačivo žiadosti na poskytnutie príspevku na dopravu vrátane informácie o povinných prílohách je zverejnené na </w:t>
      </w:r>
      <w:r>
        <w:t xml:space="preserve">webovom sídle Ústredia práce, sociálnych vecí a rodiny, v časti: Sociálne veci a rodina. 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Ak budú splnené podmienky na poskytnutie finančného príspevku na dopravu, úrad sa zaväzuje poukázať príspevok na účet organizátora najneskôr do 30  kalendárnych d</w:t>
      </w:r>
      <w:r>
        <w:t>ní odo dňa predloženia žiadosti vrátane povinných príloh. V prípade, ak úrad zistí pri overení splnenia podmienok na poskytnutie príspevku nedostatočnosť predložených podkladov, informuje organizátora o zistených nedostatkoch a stanoví lehotu na ich odstrá</w:t>
      </w:r>
      <w:r>
        <w:t xml:space="preserve">nenie. Lehota na vyplatenie príspevku podľa </w:t>
      </w:r>
      <w:r>
        <w:lastRenderedPageBreak/>
        <w:t xml:space="preserve">predchádzajúcej vety neplynie počas doby, kým organizátor neodstráni nedostatky zistené pri preverení podmienok na poskytnutie finančného príspevku na dopravu. </w:t>
      </w:r>
    </w:p>
    <w:p w:rsidR="00F932E1" w:rsidRDefault="00E74329">
      <w:pPr>
        <w:spacing w:after="26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8"/>
        </w:numPr>
        <w:ind w:right="53" w:hanging="360"/>
      </w:pPr>
      <w:r>
        <w:t>Organizátor berie na vedomie, že finančný príspe</w:t>
      </w:r>
      <w:r>
        <w:t>vok na dopravu je prostriedkom vyplateným zo štátneho rozpočtu Slovenskej republiky. Na účel použitia týchto prostriedkov, kontrolu ich použitia a ich vymáhanie sa vzťahuje zákon č. 357/2015 Z. z. o finančnej kontrole a audite a o zmene a doplnení niektorý</w:t>
      </w:r>
      <w:r>
        <w:t>ch zákonov v znení neskorších predpisov, zákon č. 523/2004 Z. z. o rozpočtových pravidlách verejnej správy a o zmene a doplnení niektorých zákonov v znení neskorších predpisov. Ak úrad zistí, že finančný príspevok na dopravu bol použitý neoprávnene, organi</w:t>
      </w:r>
      <w:r>
        <w:t xml:space="preserve">zátor je povinný úradu finančný príspevok vrátiť. </w:t>
      </w:r>
    </w:p>
    <w:p w:rsidR="00F932E1" w:rsidRDefault="00E74329">
      <w:pPr>
        <w:spacing w:after="0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after="24" w:line="259" w:lineRule="auto"/>
        <w:ind w:left="77" w:firstLine="0"/>
        <w:jc w:val="center"/>
      </w:pPr>
      <w:r>
        <w:rPr>
          <w:b/>
        </w:rPr>
        <w:t xml:space="preserve"> </w:t>
      </w:r>
    </w:p>
    <w:p w:rsidR="00F932E1" w:rsidRDefault="00E74329">
      <w:pPr>
        <w:spacing w:after="25" w:line="259" w:lineRule="auto"/>
        <w:ind w:left="389" w:right="363"/>
        <w:jc w:val="center"/>
      </w:pPr>
      <w:r>
        <w:rPr>
          <w:b/>
        </w:rPr>
        <w:t xml:space="preserve">Článok VI </w:t>
      </w:r>
    </w:p>
    <w:p w:rsidR="00F932E1" w:rsidRDefault="00E74329">
      <w:pPr>
        <w:spacing w:line="259" w:lineRule="auto"/>
        <w:ind w:left="389" w:right="365"/>
        <w:jc w:val="center"/>
      </w:pPr>
      <w:r>
        <w:rPr>
          <w:b/>
        </w:rPr>
        <w:t xml:space="preserve">Kontaktné osoby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9"/>
        </w:numPr>
        <w:ind w:right="53" w:hanging="360"/>
      </w:pPr>
      <w:r>
        <w:t xml:space="preserve">Za účelom organizácie a koordinácie činnosti občana špecifikovanej v článku II tejto dohody a </w:t>
      </w:r>
      <w:r>
        <w:t xml:space="preserve">dohľadu nad jej výkonom, úrad ustanovuje kontaktnú osobu (zamestnanec aktivačného centra úradu): X </w:t>
      </w:r>
    </w:p>
    <w:p w:rsidR="00F932E1" w:rsidRDefault="00E74329">
      <w:pPr>
        <w:numPr>
          <w:ilvl w:val="0"/>
          <w:numId w:val="9"/>
        </w:numPr>
        <w:ind w:right="53" w:hanging="360"/>
      </w:pPr>
      <w:r>
        <w:t>Za účelom organizácie a koordinácie činnosti občana špecifikovanej v článku II tejto dohody a dohľadu nad jej výkonom, organizátor ustanovuje kontaktnú osob</w:t>
      </w:r>
      <w:r>
        <w:t xml:space="preserve">u (zamestnanec organizátora): </w:t>
      </w:r>
    </w:p>
    <w:p w:rsidR="00F932E1" w:rsidRDefault="00E74329">
      <w:pPr>
        <w:spacing w:after="0" w:line="259" w:lineRule="auto"/>
        <w:ind w:left="437" w:firstLine="0"/>
        <w:jc w:val="left"/>
      </w:pPr>
      <w:r>
        <w:t xml:space="preserve"> </w:t>
      </w:r>
    </w:p>
    <w:p w:rsidR="00F932E1" w:rsidRDefault="00E74329">
      <w:pPr>
        <w:ind w:left="512" w:right="53"/>
      </w:pPr>
      <w:r>
        <w:t xml:space="preserve">Meno a priezvisko: X </w:t>
      </w:r>
    </w:p>
    <w:p w:rsidR="00F932E1" w:rsidRDefault="00E74329">
      <w:pPr>
        <w:ind w:left="512" w:right="53"/>
      </w:pPr>
      <w:r>
        <w:t xml:space="preserve">Telefónne číslo: X </w:t>
      </w:r>
    </w:p>
    <w:p w:rsidR="00F932E1" w:rsidRDefault="00E74329">
      <w:pPr>
        <w:ind w:left="512" w:right="53"/>
      </w:pPr>
      <w:r>
        <w:t xml:space="preserve">E-mailová adresa: X </w:t>
      </w:r>
    </w:p>
    <w:p w:rsidR="00F932E1" w:rsidRDefault="00E74329">
      <w:pPr>
        <w:spacing w:after="0" w:line="259" w:lineRule="auto"/>
        <w:ind w:left="502" w:firstLine="0"/>
        <w:jc w:val="left"/>
      </w:pPr>
      <w:r>
        <w:t xml:space="preserve"> </w:t>
      </w:r>
    </w:p>
    <w:p w:rsidR="00F932E1" w:rsidRDefault="00E74329">
      <w:pPr>
        <w:numPr>
          <w:ilvl w:val="0"/>
          <w:numId w:val="9"/>
        </w:numPr>
        <w:ind w:right="53" w:hanging="360"/>
      </w:pPr>
      <w:r>
        <w:t xml:space="preserve">Kontaktné osoby ustanovené účastníkmi dohody sú povinné spolupracovať pri koordinácii občanov a vedení mesačnej evidencie dochádzky občanov zúčastňujúcich sa </w:t>
      </w:r>
      <w:r>
        <w:t>na výkone činnosti, a zabezpečiť podpísanie tejto evidencie štatutárnym orgánom organizátora, prípadne kontaktnou osobou oprávnenou konať v mene organizátora, oprávnenou kontaktnou osobou úradu a vlastnoručnými podpismi občanov vykonávajúcich činnosti. V p</w:t>
      </w:r>
      <w:r>
        <w:t xml:space="preserve">rípade zmeny kontaktných osôb, alebo zmeny ich údajov, sú účastníci dohody povinní si akúkoľvek takúto zmenu vzájomne bezodkladne písomne oznámiť bez potreby vyhotovenia dodatku k tejto dohode.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after="26" w:line="259" w:lineRule="auto"/>
        <w:ind w:left="389" w:right="360"/>
        <w:jc w:val="center"/>
      </w:pPr>
      <w:r>
        <w:rPr>
          <w:b/>
        </w:rPr>
        <w:t xml:space="preserve">Článok VII </w:t>
      </w:r>
    </w:p>
    <w:p w:rsidR="00F932E1" w:rsidRDefault="00E74329">
      <w:pPr>
        <w:spacing w:line="259" w:lineRule="auto"/>
        <w:ind w:left="389" w:right="362"/>
        <w:jc w:val="center"/>
      </w:pPr>
      <w:r>
        <w:rPr>
          <w:b/>
        </w:rPr>
        <w:t xml:space="preserve">Trvanie a zánik dohody </w:t>
      </w:r>
    </w:p>
    <w:p w:rsidR="00F932E1" w:rsidRDefault="00E74329">
      <w:pPr>
        <w:spacing w:after="18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0"/>
        </w:numPr>
        <w:ind w:right="53" w:hanging="360"/>
      </w:pPr>
      <w:r>
        <w:t xml:space="preserve">Táto dohoda sa uzatvára na dobu určitú a to od nadobudnutia jej účinnosti do 31.12.2026.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0"/>
        </w:numPr>
        <w:ind w:right="53" w:hanging="360"/>
      </w:pPr>
      <w:r>
        <w:t xml:space="preserve">Účastníci dohody sa dohodli, že túto dohodu je možné predčasne ukončiť doručením písomného </w:t>
      </w:r>
    </w:p>
    <w:p w:rsidR="00F932E1" w:rsidRDefault="00E74329">
      <w:pPr>
        <w:spacing w:after="0" w:line="259" w:lineRule="auto"/>
        <w:ind w:left="0" w:right="63" w:firstLine="0"/>
        <w:jc w:val="right"/>
      </w:pPr>
      <w:r>
        <w:t>oznámenia o jej predčasnom ukončení druhému účastníkovi dohody, a to aj</w:t>
      </w:r>
      <w:r>
        <w:t xml:space="preserve"> bez uvedenia dôvodu. </w:t>
      </w:r>
    </w:p>
    <w:p w:rsidR="00F932E1" w:rsidRDefault="00E74329">
      <w:pPr>
        <w:spacing w:after="24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0"/>
        </w:numPr>
        <w:ind w:right="53" w:hanging="360"/>
      </w:pPr>
      <w:r>
        <w:t>V prípade, ak organizátor poruší svoje povinnosti vyplývajúce z tejto dohody, najmä ak svojím konaním, resp. nekonaním bude mariť výkon činností špecifikovaných v článku II tejto dohody, alebo bude brániť úradu vo výkone jeho práv</w:t>
      </w:r>
      <w:r>
        <w:t xml:space="preserve"> a povinností vyplývajúcich z tejto dohody a zo zákona o pomoci v hmotnej núdzi, úrad môže od dohody odstúpiť; odstúpením úradu od dohody táto zaniká dňom doručenia oznámenia o odstúpení organizátorovi. Ak úrad odstúpil od dohody z dôvodu jej porušenia zo </w:t>
      </w:r>
      <w:r>
        <w:t xml:space="preserve">strany organizátora, úrad môže novú dohodu uzatvoriť najskôr po uplynutí troch mesiacov odo dňa odstúpenia od predchádzajúcej dohody.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line="259" w:lineRule="auto"/>
        <w:ind w:left="389" w:right="363"/>
        <w:jc w:val="center"/>
      </w:pPr>
      <w:r>
        <w:rPr>
          <w:b/>
        </w:rPr>
        <w:lastRenderedPageBreak/>
        <w:t xml:space="preserve">Článok VIII </w:t>
      </w:r>
    </w:p>
    <w:p w:rsidR="00F932E1" w:rsidRDefault="00E74329">
      <w:pPr>
        <w:spacing w:line="259" w:lineRule="auto"/>
        <w:ind w:left="389" w:right="362"/>
        <w:jc w:val="center"/>
      </w:pPr>
      <w:r>
        <w:rPr>
          <w:b/>
        </w:rPr>
        <w:t xml:space="preserve">Osobitné protikorupčné ustanovenia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1"/>
        </w:numPr>
        <w:ind w:right="53" w:hanging="360"/>
      </w:pPr>
      <w:r>
        <w:t>Účastníci dohody sa nesmú dopustiť, nesmú schváliť, ani povoliť žiadne konanie v súvislosti s dojednávaním, uzatváraním alebo plnením dohody, ktoré by spôsobilo, že by účastníci dohody alebo osoby ovládané účastníkmi dohody porušili akékoľvek platné protik</w:t>
      </w:r>
      <w:r>
        <w:t>orupčné všeobecne záväzné právne predpisy. Táto povinnosť sa vzťahuje najmä na neoprávnené plnenia, vrátane urýchľovacích platieb (facilitation payments) verejným činiteľom, zástupcom alebo zamestnancom orgánov verejnej správy alebo blízkym osobám verejnýc</w:t>
      </w:r>
      <w:r>
        <w:t xml:space="preserve">h činiteľov, zástupcov alebo zamestnancov orgánov verejnej správy.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1"/>
        </w:numPr>
        <w:ind w:right="53" w:hanging="360"/>
      </w:pPr>
      <w:r>
        <w:t>Účastníci dohody sa zaväzujú, že neponúknu, neposkytnú, ani sa nezaviažu poskytnúť žiadnemu zamestnancovi, zástupcovi alebo tretej strane konajúcej v mene druhého účastníka dohody a rov</w:t>
      </w:r>
      <w:r>
        <w:t xml:space="preserve">nako neprijmú, ani sa nezaviažu prijať od žiadneho zamestnanca, zástupcu alebo tretej strany konajúcej v mene druhého účastníka dohody žiadny dar, ani inú výhodu, či peňažnú alebo inú, v súvislosti s dojednávaním, uzatváraním alebo plnením dohody.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1"/>
        </w:numPr>
        <w:ind w:right="53" w:hanging="360"/>
      </w:pPr>
      <w:r>
        <w:t>Účas</w:t>
      </w:r>
      <w:r>
        <w:t xml:space="preserve">tníci dohody sa zaväzujú bezodkladne informovať druhého účastníka dohody, pokiaľ si budú vedomí alebo budú mať konkrétne podozrenie na korupciu pri dojednávaní, uzatváraní alebo pri plnení tejto dohody. </w:t>
      </w:r>
    </w:p>
    <w:p w:rsidR="00F932E1" w:rsidRDefault="00E74329">
      <w:pPr>
        <w:spacing w:after="26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1"/>
        </w:numPr>
        <w:ind w:right="53" w:hanging="360"/>
      </w:pPr>
      <w:r>
        <w:t>V prípade, že akýkoľvek dar alebo výhoda v súvisl</w:t>
      </w:r>
      <w:r>
        <w:t xml:space="preserve">osti s dojednávaním, uzatváraním alebo plnením dohody je poskytnutý účastníkovi dohody alebo zástupcovi účastníka dohody v rozpore s týmto článkom dohody, môže účastník dohody od dohody odstúpiť. </w:t>
      </w:r>
    </w:p>
    <w:p w:rsidR="00F932E1" w:rsidRDefault="00E74329">
      <w:pPr>
        <w:spacing w:after="2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spacing w:after="26" w:line="259" w:lineRule="auto"/>
        <w:ind w:left="389" w:right="363"/>
        <w:jc w:val="center"/>
      </w:pPr>
      <w:r>
        <w:rPr>
          <w:b/>
        </w:rPr>
        <w:t xml:space="preserve">Článok IX </w:t>
      </w:r>
    </w:p>
    <w:p w:rsidR="00F932E1" w:rsidRDefault="00E74329">
      <w:pPr>
        <w:spacing w:line="259" w:lineRule="auto"/>
        <w:ind w:left="389" w:right="368"/>
        <w:jc w:val="center"/>
      </w:pPr>
      <w:r>
        <w:rPr>
          <w:b/>
        </w:rPr>
        <w:t xml:space="preserve">Záverečné ustanovenia </w:t>
      </w:r>
    </w:p>
    <w:p w:rsidR="00F932E1" w:rsidRDefault="00E74329">
      <w:pPr>
        <w:spacing w:after="22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>Táto dohoda je vyhotovená v dvoch rovnopisoch, z ktorých úrad prevezme jeden rovnopis a organizátor prevezme jeden rovnopis. Písomná forma dohody je zachovaná vždy aj, keď právny úkon urobený elektronickými prostriedkami je účastníkmi dohody podpísaný zaru</w:t>
      </w:r>
      <w:r>
        <w:t xml:space="preserve">čeným elektronickým podpisom alebo zaručenou elektronickou pečaťou. V takomto prípade dohoda predstavuje písomný originál v elektronickej podobe a písomný rovnopis v listinnej podobe sa nevyhotovuje. </w:t>
      </w:r>
    </w:p>
    <w:p w:rsidR="00F932E1" w:rsidRDefault="00E74329">
      <w:pPr>
        <w:spacing w:after="19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 xml:space="preserve">V každom písomnom styku sú účastníci dohody povinní </w:t>
      </w:r>
      <w:r>
        <w:t xml:space="preserve">uvádzať číslo tejto dohody.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>Zmeny a doplnenia tejto dohody je možné vykonať len formou písomných a očíslovaných dodatkov k tejto dohode, vzájomne schválených, podpísaných oboma účastníkmi dohody a zverejnených v Centrálnom registri zmlúv vedenom Úradom</w:t>
      </w:r>
      <w:r>
        <w:t xml:space="preserve"> vlády Slovenskej republiky. Predchádzajúcou vetou nie je dotknuté ustanovenie podľa čl. II bod 6 písm. b) tejto dohody. Dodatky k tejto dohode sú jej neoddeliteľnou súčasťou.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>Úrad a organizátor sa dohodli, že oznamovanie prípadných zmien pri plnení zá</w:t>
      </w:r>
      <w:r>
        <w:t xml:space="preserve">väzkov </w:t>
      </w:r>
    </w:p>
    <w:p w:rsidR="00F932E1" w:rsidRDefault="00E74329">
      <w:pPr>
        <w:ind w:left="447" w:right="53"/>
      </w:pPr>
      <w:r>
        <w:t xml:space="preserve">vyplývajúcich z tejto dohody bude prebiehať elektronicky.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lastRenderedPageBreak/>
        <w:t>Táto dohoda nadobúda platnosť dňom jej podpísania účastníkmi dohody a účinnosť dňom nasledujúcim po dni jej zverejnenia v Centrálnom registri zmlúv vedenom Úradom vlády Slovenskej republ</w:t>
      </w:r>
      <w:r>
        <w:t xml:space="preserve">iky. </w:t>
      </w:r>
    </w:p>
    <w:p w:rsidR="00F932E1" w:rsidRDefault="00E74329">
      <w:pPr>
        <w:spacing w:after="25" w:line="259" w:lineRule="auto"/>
        <w:ind w:left="185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 xml:space="preserve">Účinnosť tejto dohody skončí v zmysle ustanovení článku VII tejto dohody. </w:t>
      </w:r>
    </w:p>
    <w:p w:rsidR="00F932E1" w:rsidRDefault="00E74329">
      <w:pPr>
        <w:spacing w:after="21" w:line="259" w:lineRule="auto"/>
        <w:ind w:left="77" w:firstLine="0"/>
        <w:jc w:val="left"/>
      </w:pPr>
      <w:r>
        <w:t xml:space="preserve">  </w:t>
      </w:r>
    </w:p>
    <w:p w:rsidR="00F932E1" w:rsidRDefault="00E74329">
      <w:pPr>
        <w:numPr>
          <w:ilvl w:val="0"/>
          <w:numId w:val="12"/>
        </w:numPr>
        <w:ind w:right="53" w:hanging="360"/>
      </w:pPr>
      <w:r>
        <w:t xml:space="preserve">Účastníci dohody vyhlasujú, že sú oprávnení túto dohodu podpísať, že si ju riadne a </w:t>
      </w:r>
      <w:r>
        <w:t xml:space="preserve">dôsledne prečítali a súhlasia s jej obsahom, neuzavreli ju v tiesni za nápadne nevýhodných podmienok a na znak súhlasu s jej obsahom ju vlastnoručne podpisujú. </w:t>
      </w:r>
    </w:p>
    <w:p w:rsidR="00F932E1" w:rsidRDefault="00E74329">
      <w:pPr>
        <w:spacing w:after="20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ind w:left="72" w:right="53"/>
      </w:pPr>
      <w:r>
        <w:t xml:space="preserve">V prípade, ak sa dohoda uzatvára elektronicky: </w:t>
      </w:r>
    </w:p>
    <w:p w:rsidR="00F932E1" w:rsidRDefault="00E74329">
      <w:pPr>
        <w:spacing w:after="18" w:line="259" w:lineRule="auto"/>
        <w:ind w:left="77" w:firstLine="0"/>
        <w:jc w:val="left"/>
      </w:pPr>
      <w:r>
        <w:t xml:space="preserve"> </w:t>
      </w:r>
    </w:p>
    <w:p w:rsidR="00F932E1" w:rsidRDefault="00E74329">
      <w:pPr>
        <w:tabs>
          <w:tab w:val="center" w:pos="2629"/>
          <w:tab w:val="center" w:pos="7161"/>
        </w:tabs>
        <w:spacing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„(dátum v elektronickom podpise)“ </w:t>
      </w:r>
      <w:r>
        <w:tab/>
      </w:r>
      <w:r>
        <w:t xml:space="preserve">„(dátum v elektronickom podpise)“ </w:t>
      </w:r>
    </w:p>
    <w:p w:rsidR="00F932E1" w:rsidRDefault="00E74329">
      <w:pPr>
        <w:spacing w:after="27" w:line="259" w:lineRule="auto"/>
        <w:ind w:left="473" w:firstLine="0"/>
        <w:jc w:val="left"/>
      </w:pPr>
      <w:r>
        <w:t xml:space="preserve"> </w:t>
      </w:r>
      <w:r>
        <w:tab/>
        <w:t xml:space="preserve"> </w:t>
      </w:r>
    </w:p>
    <w:p w:rsidR="00F932E1" w:rsidRDefault="00E74329">
      <w:pPr>
        <w:tabs>
          <w:tab w:val="center" w:pos="2629"/>
          <w:tab w:val="center" w:pos="71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 organizátora: </w:t>
      </w:r>
      <w:r>
        <w:tab/>
        <w:t xml:space="preserve">Za úrad: </w:t>
      </w:r>
    </w:p>
    <w:p w:rsidR="00F932E1" w:rsidRDefault="00E74329">
      <w:pPr>
        <w:tabs>
          <w:tab w:val="center" w:pos="2629"/>
          <w:tab w:val="center" w:pos="716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„(podpísané elektronicky podľa zákona č. 272/2016 Z. z.)“</w:t>
      </w:r>
      <w:r>
        <w:t xml:space="preserve"> </w:t>
      </w:r>
      <w:r>
        <w:tab/>
      </w:r>
      <w:r>
        <w:rPr>
          <w:sz w:val="18"/>
        </w:rPr>
        <w:t>„(podpísané elektronicky podľa zákona č. 272/2016 Z. z.)“</w:t>
      </w:r>
      <w:r>
        <w:t xml:space="preserve"> </w:t>
      </w:r>
    </w:p>
    <w:tbl>
      <w:tblPr>
        <w:tblStyle w:val="TableGrid"/>
        <w:tblW w:w="9352" w:type="dxa"/>
        <w:tblInd w:w="77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235"/>
        <w:gridCol w:w="1113"/>
        <w:gridCol w:w="1344"/>
        <w:gridCol w:w="1892"/>
      </w:tblGrid>
      <w:tr w:rsidR="00F932E1">
        <w:trPr>
          <w:trHeight w:val="27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38" w:firstLine="0"/>
              <w:jc w:val="center"/>
            </w:pPr>
            <w:r>
              <w:t xml:space="preserve">Renáta Rýzková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Ing. Martin Ružička </w:t>
            </w:r>
          </w:p>
        </w:tc>
      </w:tr>
      <w:tr w:rsidR="00F932E1">
        <w:trPr>
          <w:trHeight w:val="276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1008" w:firstLine="0"/>
              <w:jc w:val="left"/>
            </w:pPr>
            <w:r>
              <w:t xml:space="preserve">štatutárny zástupca organizátora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10" w:firstLine="0"/>
              <w:jc w:val="left"/>
            </w:pPr>
            <w:r>
              <w:t xml:space="preserve">riaditeľ úradu </w:t>
            </w:r>
          </w:p>
        </w:tc>
      </w:tr>
      <w:tr w:rsidR="00F932E1">
        <w:trPr>
          <w:trHeight w:val="1559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401" w:firstLine="0"/>
              <w:jc w:val="center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</w:pPr>
            <w:r>
              <w:t xml:space="preserve">V prípade ak sa dohoda neuzatvára elektronicky: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653" w:firstLine="0"/>
              <w:jc w:val="center"/>
            </w:pPr>
            <w:r>
              <w:t xml:space="preserve"> 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</w:tr>
      <w:tr w:rsidR="00F932E1">
        <w:trPr>
          <w:trHeight w:val="29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tabs>
                <w:tab w:val="center" w:pos="339"/>
                <w:tab w:val="center" w:pos="25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  <w:t xml:space="preserve">dňa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778" w:firstLine="0"/>
              <w:jc w:val="left"/>
            </w:pPr>
            <w:r>
              <w:t xml:space="preserve">dňa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F932E1">
        <w:trPr>
          <w:trHeight w:val="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E1" w:rsidRDefault="00E74329">
            <w:pPr>
              <w:spacing w:after="0" w:line="259" w:lineRule="auto"/>
              <w:ind w:left="29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78052" cy="6096"/>
                      <wp:effectExtent l="0" t="0" r="0" b="0"/>
                      <wp:docPr id="10115" name="Group 10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8052" cy="6096"/>
                                <a:chOff x="0" y="0"/>
                                <a:chExt cx="1178052" cy="6096"/>
                              </a:xfrm>
                            </wpg:grpSpPr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0" y="0"/>
                                  <a:ext cx="1178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052">
                                      <a:moveTo>
                                        <a:pt x="0" y="0"/>
                                      </a:moveTo>
                                      <a:lnTo>
                                        <a:pt x="1178052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15" style="width:92.76pt;height:0.48pt;mso-position-horizontal-relative:char;mso-position-vertical-relative:line" coordsize="11780,60">
                      <v:shape id="Shape 1055" style="position:absolute;width:11780;height:0;left:0;top:0;" coordsize="1178052,0" path="m0,0l1178052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E1" w:rsidRDefault="00E74329">
            <w:pPr>
              <w:spacing w:after="0" w:line="259" w:lineRule="auto"/>
              <w:ind w:left="-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78433" cy="6096"/>
                      <wp:effectExtent l="0" t="0" r="0" b="0"/>
                      <wp:docPr id="10119" name="Group 10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8433" cy="6096"/>
                                <a:chOff x="0" y="0"/>
                                <a:chExt cx="1178433" cy="6096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11784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>
                                      <a:moveTo>
                                        <a:pt x="0" y="0"/>
                                      </a:moveTo>
                                      <a:lnTo>
                                        <a:pt x="1178433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19" style="width:92.79pt;height:0.48pt;mso-position-horizontal-relative:char;mso-position-vertical-relative:line" coordsize="11784,60">
                      <v:shape id="Shape 1056" style="position:absolute;width:11784;height:0;left:0;top:0;" coordsize="1178433,0" path="m0,0l1178433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F932E1">
        <w:trPr>
          <w:trHeight w:val="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</w:tr>
      <w:tr w:rsidR="00F932E1">
        <w:trPr>
          <w:trHeight w:val="1656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32E1" w:rsidRDefault="00E743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</w:tr>
      <w:tr w:rsidR="00F932E1">
        <w:trPr>
          <w:trHeight w:val="276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257" w:firstLine="0"/>
              <w:jc w:val="center"/>
            </w:pPr>
            <w:r>
              <w:t xml:space="preserve">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1" w:firstLine="0"/>
              <w:jc w:val="left"/>
            </w:pPr>
            <w: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1018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F932E1">
            <w:pPr>
              <w:spacing w:after="160" w:line="259" w:lineRule="auto"/>
              <w:ind w:left="0" w:firstLine="0"/>
              <w:jc w:val="left"/>
            </w:pPr>
          </w:p>
        </w:tc>
      </w:tr>
      <w:tr w:rsidR="00F932E1">
        <w:trPr>
          <w:trHeight w:val="286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55" w:line="259" w:lineRule="auto"/>
              <w:ind w:left="2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87726" cy="6096"/>
                      <wp:effectExtent l="0" t="0" r="0" b="0"/>
                      <wp:docPr id="10168" name="Group 10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7726" cy="6096"/>
                                <a:chOff x="0" y="0"/>
                                <a:chExt cx="2787726" cy="6096"/>
                              </a:xfrm>
                            </wpg:grpSpPr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0" y="0"/>
                                  <a:ext cx="27877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87726">
                                      <a:moveTo>
                                        <a:pt x="0" y="0"/>
                                      </a:moveTo>
                                      <a:lnTo>
                                        <a:pt x="2787726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68" style="width:219.506pt;height:0.48pt;mso-position-horizontal-relative:char;mso-position-vertical-relative:line" coordsize="27877,60">
                      <v:shape id="Shape 1071" style="position:absolute;width:27877;height:0;left:0;top:0;" coordsize="2787726,0" path="m0,0l2787726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F932E1" w:rsidRDefault="00E74329">
            <w:pPr>
              <w:spacing w:after="0" w:line="259" w:lineRule="auto"/>
              <w:ind w:left="194" w:firstLine="0"/>
              <w:jc w:val="center"/>
            </w:pPr>
            <w:r>
              <w:t xml:space="preserve">Renáta Rýzková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1" w:firstLine="0"/>
              <w:jc w:val="left"/>
            </w:pPr>
            <w:r>
              <w:t xml:space="preserve">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55" w:line="259" w:lineRule="auto"/>
              <w:ind w:left="-12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6987" cy="6096"/>
                      <wp:effectExtent l="0" t="0" r="0" b="0"/>
                      <wp:docPr id="10184" name="Group 10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6987" cy="6096"/>
                                <a:chOff x="0" y="0"/>
                                <a:chExt cx="2816987" cy="6096"/>
                              </a:xfrm>
                            </wpg:grpSpPr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0" y="0"/>
                                  <a:ext cx="281698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6987">
                                      <a:moveTo>
                                        <a:pt x="0" y="0"/>
                                      </a:moveTo>
                                      <a:lnTo>
                                        <a:pt x="2816987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84" style="width:221.81pt;height:0.48pt;mso-position-horizontal-relative:char;mso-position-vertical-relative:line" coordsize="28169,60">
                      <v:shape id="Shape 1072" style="position:absolute;width:28169;height:0;left:0;top:0;" coordsize="2816987,0" path="m0,0l2816987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F932E1" w:rsidRDefault="00E74329">
            <w:pPr>
              <w:spacing w:after="0" w:line="259" w:lineRule="auto"/>
              <w:ind w:left="48" w:firstLine="0"/>
              <w:jc w:val="left"/>
            </w:pPr>
            <w:r>
              <w:t xml:space="preserve">Ing. Martin Ružička </w:t>
            </w:r>
          </w:p>
        </w:tc>
      </w:tr>
      <w:tr w:rsidR="00F932E1">
        <w:trPr>
          <w:trHeight w:val="280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936" w:firstLine="0"/>
              <w:jc w:val="left"/>
            </w:pPr>
            <w:r>
              <w:t>štatutárny zástupca organizátora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1" w:firstLine="0"/>
              <w:jc w:val="left"/>
            </w:pPr>
            <w:r>
              <w:t xml:space="preserve">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58" w:firstLine="0"/>
              <w:jc w:val="left"/>
            </w:pPr>
            <w:r>
              <w:t xml:space="preserve">riaditeľ úradu </w:t>
            </w:r>
          </w:p>
        </w:tc>
      </w:tr>
      <w:tr w:rsidR="00F932E1">
        <w:trPr>
          <w:trHeight w:val="26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257" w:firstLine="0"/>
              <w:jc w:val="center"/>
            </w:pPr>
            <w:r>
              <w:t xml:space="preserve">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31" w:firstLine="0"/>
              <w:jc w:val="left"/>
            </w:pPr>
            <w:r>
              <w:t xml:space="preserve">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2E1" w:rsidRDefault="00E74329">
            <w:pPr>
              <w:spacing w:after="0" w:line="259" w:lineRule="auto"/>
              <w:ind w:left="986" w:firstLine="0"/>
              <w:jc w:val="left"/>
            </w:pPr>
            <w:r>
              <w:t xml:space="preserve">  </w:t>
            </w:r>
          </w:p>
        </w:tc>
      </w:tr>
    </w:tbl>
    <w:p w:rsidR="00F932E1" w:rsidRDefault="00E74329">
      <w:pPr>
        <w:spacing w:after="0" w:line="259" w:lineRule="auto"/>
        <w:ind w:left="77" w:firstLine="0"/>
        <w:jc w:val="left"/>
      </w:pPr>
      <w:r>
        <w:t xml:space="preserve"> </w:t>
      </w:r>
    </w:p>
    <w:sectPr w:rsidR="00F932E1">
      <w:footerReference w:type="even" r:id="rId7"/>
      <w:footerReference w:type="default" r:id="rId8"/>
      <w:footerReference w:type="first" r:id="rId9"/>
      <w:pgSz w:w="11906" w:h="16838"/>
      <w:pgMar w:top="571" w:right="1073" w:bottom="1096" w:left="105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29" w:rsidRDefault="00E74329">
      <w:pPr>
        <w:spacing w:after="0" w:line="240" w:lineRule="auto"/>
      </w:pPr>
      <w:r>
        <w:separator/>
      </w:r>
    </w:p>
  </w:endnote>
  <w:endnote w:type="continuationSeparator" w:id="0">
    <w:p w:rsidR="00E74329" w:rsidRDefault="00E7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E1" w:rsidRDefault="00E74329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E1" w:rsidRDefault="00E74329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0C99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E1" w:rsidRDefault="00E74329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29" w:rsidRDefault="00E74329">
      <w:pPr>
        <w:spacing w:after="0" w:line="240" w:lineRule="auto"/>
      </w:pPr>
      <w:r>
        <w:separator/>
      </w:r>
    </w:p>
  </w:footnote>
  <w:footnote w:type="continuationSeparator" w:id="0">
    <w:p w:rsidR="00E74329" w:rsidRDefault="00E7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71C"/>
    <w:multiLevelType w:val="hybridMultilevel"/>
    <w:tmpl w:val="FDBA5650"/>
    <w:lvl w:ilvl="0" w:tplc="CECC14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8C63E">
      <w:start w:val="1"/>
      <w:numFmt w:val="lowerLetter"/>
      <w:lvlRestart w:val="0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6AC60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815C4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880D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0B34C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2B8D0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24172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2D94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6719D"/>
    <w:multiLevelType w:val="hybridMultilevel"/>
    <w:tmpl w:val="E1E6B7EE"/>
    <w:lvl w:ilvl="0" w:tplc="9484361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C49FA">
      <w:start w:val="5"/>
      <w:numFmt w:val="upperRoman"/>
      <w:lvlText w:val="%2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E55B4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C6950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8519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0E5AE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0BD2C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4664E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05C6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3619"/>
    <w:multiLevelType w:val="hybridMultilevel"/>
    <w:tmpl w:val="17C6513A"/>
    <w:lvl w:ilvl="0" w:tplc="AE52204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C40D0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E078E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26C38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E8258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81CA8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6E6B2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CE8FE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C3AE6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677FD6"/>
    <w:multiLevelType w:val="hybridMultilevel"/>
    <w:tmpl w:val="268AED06"/>
    <w:lvl w:ilvl="0" w:tplc="9126C92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2CAA2">
      <w:start w:val="1"/>
      <w:numFmt w:val="lowerLetter"/>
      <w:lvlText w:val="%2)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6D482">
      <w:start w:val="1"/>
      <w:numFmt w:val="lowerRoman"/>
      <w:lvlText w:val="%3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F2E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497FE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040BA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8D40A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6E154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0AF64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725B7D"/>
    <w:multiLevelType w:val="hybridMultilevel"/>
    <w:tmpl w:val="08D094CA"/>
    <w:lvl w:ilvl="0" w:tplc="9C8897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A65C0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A2FE4">
      <w:start w:val="1"/>
      <w:numFmt w:val="bullet"/>
      <w:lvlText w:val="▪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E845C">
      <w:start w:val="1"/>
      <w:numFmt w:val="bullet"/>
      <w:lvlText w:val="•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48A4E">
      <w:start w:val="1"/>
      <w:numFmt w:val="bullet"/>
      <w:lvlText w:val="o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2C280">
      <w:start w:val="1"/>
      <w:numFmt w:val="bullet"/>
      <w:lvlText w:val="▪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2380E">
      <w:start w:val="1"/>
      <w:numFmt w:val="bullet"/>
      <w:lvlText w:val="•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C2E24">
      <w:start w:val="1"/>
      <w:numFmt w:val="bullet"/>
      <w:lvlText w:val="o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64A18">
      <w:start w:val="1"/>
      <w:numFmt w:val="bullet"/>
      <w:lvlText w:val="▪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DB6728"/>
    <w:multiLevelType w:val="hybridMultilevel"/>
    <w:tmpl w:val="7548E388"/>
    <w:lvl w:ilvl="0" w:tplc="631EE88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E4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83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07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29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E1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3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A0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B9774B"/>
    <w:multiLevelType w:val="hybridMultilevel"/>
    <w:tmpl w:val="B5309010"/>
    <w:lvl w:ilvl="0" w:tplc="28B630C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8F2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C3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AA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85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0D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816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4C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B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F26837"/>
    <w:multiLevelType w:val="hybridMultilevel"/>
    <w:tmpl w:val="98A6A7FA"/>
    <w:lvl w:ilvl="0" w:tplc="C2B073C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2D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43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EE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6E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44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478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EB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037925"/>
    <w:multiLevelType w:val="hybridMultilevel"/>
    <w:tmpl w:val="A9A00852"/>
    <w:lvl w:ilvl="0" w:tplc="7C82F9A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28430">
      <w:start w:val="1"/>
      <w:numFmt w:val="lowerLetter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A3754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8A28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0C90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61AE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6287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A31E8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A503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425DA5"/>
    <w:multiLevelType w:val="hybridMultilevel"/>
    <w:tmpl w:val="9D6A6F1E"/>
    <w:lvl w:ilvl="0" w:tplc="534E55E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C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89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04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C8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C3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C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EE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96199"/>
    <w:multiLevelType w:val="hybridMultilevel"/>
    <w:tmpl w:val="D6B67F96"/>
    <w:lvl w:ilvl="0" w:tplc="02D293A0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2B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491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3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E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8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44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6F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2C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FA647F"/>
    <w:multiLevelType w:val="hybridMultilevel"/>
    <w:tmpl w:val="3B8017EA"/>
    <w:lvl w:ilvl="0" w:tplc="B9265F6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4D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C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CD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AAE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6E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D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6F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AF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E1"/>
    <w:rsid w:val="00050C99"/>
    <w:rsid w:val="00E74329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4729F-2AEA-41F1-ABA7-9A0BB245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7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2025-09-22T10:20:00Z</dcterms:created>
  <dcterms:modified xsi:type="dcterms:W3CDTF">2025-09-22T10:20:00Z</dcterms:modified>
</cp:coreProperties>
</file>