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7A4" w:rsidRPr="00280983" w:rsidRDefault="000E07A4" w:rsidP="000E07A4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280983">
        <w:rPr>
          <w:rFonts w:ascii="Times New Roman" w:hAnsi="Times New Roman" w:cs="Times New Roman"/>
          <w:sz w:val="24"/>
          <w:szCs w:val="24"/>
        </w:rPr>
        <w:t>Materská škola, L. Novomeského 1209/2, Senica</w:t>
      </w:r>
    </w:p>
    <w:p w:rsidR="00280983" w:rsidRDefault="00280983" w:rsidP="00280983">
      <w:pPr>
        <w:rPr>
          <w:rFonts w:ascii="Times New Roman" w:hAnsi="Times New Roman" w:cs="Times New Roman"/>
          <w:b/>
          <w:sz w:val="24"/>
          <w:szCs w:val="24"/>
        </w:rPr>
      </w:pPr>
    </w:p>
    <w:p w:rsidR="000E07A4" w:rsidRDefault="00737569" w:rsidP="00BF4B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Plán kontinuálneho </w:t>
      </w:r>
      <w:r w:rsidR="000E07A4" w:rsidRPr="00280983">
        <w:rPr>
          <w:rFonts w:ascii="Times New Roman" w:hAnsi="Times New Roman" w:cs="Times New Roman"/>
          <w:b/>
          <w:sz w:val="24"/>
          <w:szCs w:val="24"/>
        </w:rPr>
        <w:t xml:space="preserve">vzdelávania </w:t>
      </w:r>
      <w:r>
        <w:rPr>
          <w:rFonts w:ascii="Times New Roman" w:hAnsi="Times New Roman" w:cs="Times New Roman"/>
          <w:b/>
          <w:sz w:val="24"/>
          <w:szCs w:val="24"/>
        </w:rPr>
        <w:t xml:space="preserve">pedagogických zamestnancov MŠ </w:t>
      </w:r>
      <w:r w:rsidR="00E32256">
        <w:rPr>
          <w:rFonts w:ascii="Times New Roman" w:hAnsi="Times New Roman" w:cs="Times New Roman"/>
          <w:b/>
          <w:sz w:val="24"/>
          <w:szCs w:val="24"/>
        </w:rPr>
        <w:t>na rok 2025</w:t>
      </w:r>
    </w:p>
    <w:p w:rsidR="00BA6DB8" w:rsidRPr="00280983" w:rsidRDefault="00BA6DB8" w:rsidP="00BF4B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07A4" w:rsidRPr="00280983" w:rsidRDefault="00BA6DB8" w:rsidP="00BF4BA4">
      <w:pPr>
        <w:pStyle w:val="Default"/>
        <w:spacing w:line="276" w:lineRule="auto"/>
        <w:rPr>
          <w:color w:val="auto"/>
        </w:rPr>
      </w:pPr>
      <w:r>
        <w:rPr>
          <w:color w:val="auto"/>
        </w:rPr>
        <w:t xml:space="preserve">      </w:t>
      </w:r>
      <w:r w:rsidR="000E07A4" w:rsidRPr="00280983">
        <w:rPr>
          <w:color w:val="auto"/>
        </w:rPr>
        <w:t>Podľa §5 ods. 3 zákona NR SR č. 596/2003 Z.z. o štátnej správe v školstve a školskej samospráve a o zmene a doplnení niektorých zákonov riaditeľ školy zodpovedá za vypracovanie a dodržiavanie ročného plánu ďalšieho vzdelávania pedagogických zamestnancov.</w:t>
      </w:r>
    </w:p>
    <w:p w:rsidR="000E07A4" w:rsidRPr="00280983" w:rsidRDefault="000E07A4" w:rsidP="00BF4BA4">
      <w:pPr>
        <w:pStyle w:val="Default"/>
        <w:spacing w:line="276" w:lineRule="auto"/>
        <w:ind w:left="142" w:hanging="142"/>
        <w:rPr>
          <w:color w:val="auto"/>
        </w:rPr>
      </w:pPr>
      <w:r w:rsidRPr="00280983">
        <w:rPr>
          <w:color w:val="auto"/>
        </w:rPr>
        <w:t>Ročný plán vzdelávania je vypracovaný na základe legislatívy, zahrnutej v dokumentoch:</w:t>
      </w:r>
    </w:p>
    <w:p w:rsidR="000E07A4" w:rsidRPr="00280983" w:rsidRDefault="006B22FE" w:rsidP="00BF4BA4">
      <w:pPr>
        <w:pStyle w:val="Default"/>
        <w:spacing w:line="276" w:lineRule="auto"/>
        <w:ind w:left="142" w:hanging="142"/>
        <w:rPr>
          <w:color w:val="auto"/>
        </w:rPr>
      </w:pPr>
      <w:r>
        <w:rPr>
          <w:color w:val="auto"/>
        </w:rPr>
        <w:t xml:space="preserve">      -z</w:t>
      </w:r>
      <w:r w:rsidR="000E07A4" w:rsidRPr="00280983">
        <w:rPr>
          <w:color w:val="auto"/>
        </w:rPr>
        <w:t xml:space="preserve">ákon </w:t>
      </w:r>
      <w:r>
        <w:rPr>
          <w:color w:val="auto"/>
        </w:rPr>
        <w:t xml:space="preserve">č. </w:t>
      </w:r>
      <w:r w:rsidR="000E07A4" w:rsidRPr="00280983">
        <w:rPr>
          <w:color w:val="auto"/>
        </w:rPr>
        <w:t>138/2019 o pedagogických a odborných zamestnancoch a o zmene a doplnen</w:t>
      </w:r>
      <w:r w:rsidR="009B0757">
        <w:rPr>
          <w:color w:val="auto"/>
        </w:rPr>
        <w:t>í niektorých zákonov</w:t>
      </w:r>
      <w:r w:rsidR="00BF4BA4">
        <w:rPr>
          <w:color w:val="auto"/>
        </w:rPr>
        <w:t>, §</w:t>
      </w:r>
      <w:r w:rsidR="009B0757">
        <w:rPr>
          <w:color w:val="auto"/>
        </w:rPr>
        <w:t>40 ods.</w:t>
      </w:r>
      <w:r w:rsidR="00BF4BA4">
        <w:rPr>
          <w:color w:val="auto"/>
        </w:rPr>
        <w:t xml:space="preserve"> </w:t>
      </w:r>
      <w:r w:rsidR="009B0757">
        <w:rPr>
          <w:color w:val="auto"/>
        </w:rPr>
        <w:t>4</w:t>
      </w:r>
      <w:r w:rsidR="000E07A4" w:rsidRPr="00280983">
        <w:rPr>
          <w:color w:val="auto"/>
        </w:rPr>
        <w:t>,</w:t>
      </w:r>
    </w:p>
    <w:p w:rsidR="000E07A4" w:rsidRPr="00280983" w:rsidRDefault="006B22FE" w:rsidP="00BF4BA4">
      <w:pPr>
        <w:pStyle w:val="Default"/>
        <w:spacing w:line="276" w:lineRule="auto"/>
        <w:ind w:left="142" w:hanging="142"/>
        <w:rPr>
          <w:color w:val="auto"/>
        </w:rPr>
      </w:pPr>
      <w:r>
        <w:rPr>
          <w:color w:val="auto"/>
        </w:rPr>
        <w:t xml:space="preserve">      - v</w:t>
      </w:r>
      <w:r w:rsidR="000E07A4" w:rsidRPr="00280983">
        <w:rPr>
          <w:color w:val="auto"/>
        </w:rPr>
        <w:t>yhláška MŠ VVaŠ SR č.</w:t>
      </w:r>
      <w:r>
        <w:rPr>
          <w:color w:val="auto"/>
        </w:rPr>
        <w:t xml:space="preserve"> </w:t>
      </w:r>
      <w:r w:rsidR="000E07A4" w:rsidRPr="00280983">
        <w:rPr>
          <w:color w:val="auto"/>
        </w:rPr>
        <w:t>361/2019 Z.z. o vzdelávaní v profesijnom rozvoji.</w:t>
      </w:r>
    </w:p>
    <w:p w:rsidR="000E07A4" w:rsidRPr="00280983" w:rsidRDefault="000E07A4" w:rsidP="00BF4BA4">
      <w:pPr>
        <w:pStyle w:val="Default"/>
        <w:spacing w:line="276" w:lineRule="auto"/>
        <w:rPr>
          <w:b/>
          <w:bCs/>
          <w:color w:val="auto"/>
        </w:rPr>
      </w:pPr>
      <w:r w:rsidRPr="00280983">
        <w:rPr>
          <w:b/>
          <w:bCs/>
          <w:color w:val="auto"/>
        </w:rPr>
        <w:t xml:space="preserve">    </w:t>
      </w:r>
    </w:p>
    <w:p w:rsidR="000E07A4" w:rsidRPr="00280983" w:rsidRDefault="00E32256" w:rsidP="00BF4BA4">
      <w:pPr>
        <w:pStyle w:val="Default"/>
        <w:spacing w:line="276" w:lineRule="auto"/>
        <w:rPr>
          <w:color w:val="auto"/>
        </w:rPr>
      </w:pPr>
      <w:r>
        <w:rPr>
          <w:color w:val="auto"/>
        </w:rPr>
        <w:t>Plán je vypracovaný na  rok 2025</w:t>
      </w:r>
      <w:r w:rsidR="000E07A4" w:rsidRPr="00280983">
        <w:rPr>
          <w:color w:val="auto"/>
        </w:rPr>
        <w:t xml:space="preserve"> podľa zamestnancov zaradených do jednotlivých elokovaných pracovísk MŠ, L. Novomeského 1209/2, Senica.</w:t>
      </w:r>
    </w:p>
    <w:p w:rsidR="000E07A4" w:rsidRPr="00280983" w:rsidRDefault="000E07A4" w:rsidP="00BF4BA4">
      <w:pPr>
        <w:pStyle w:val="Default"/>
        <w:spacing w:line="276" w:lineRule="auto"/>
        <w:rPr>
          <w:color w:val="auto"/>
        </w:rPr>
      </w:pPr>
      <w:r w:rsidRPr="00280983">
        <w:rPr>
          <w:color w:val="auto"/>
        </w:rPr>
        <w:t>Vzdelávanie u</w:t>
      </w:r>
      <w:r w:rsidR="00E32256">
        <w:rPr>
          <w:color w:val="auto"/>
        </w:rPr>
        <w:t>čiteliek sa v školskom roku 2024/2025</w:t>
      </w:r>
      <w:r w:rsidRPr="00280983">
        <w:rPr>
          <w:color w:val="auto"/>
        </w:rPr>
        <w:t xml:space="preserve"> bude realizovať nasledovnými vzdelávacími programami: </w:t>
      </w:r>
    </w:p>
    <w:p w:rsidR="000E07A4" w:rsidRPr="00280983" w:rsidRDefault="000E07A4" w:rsidP="00BF4BA4">
      <w:pPr>
        <w:pStyle w:val="Default"/>
        <w:numPr>
          <w:ilvl w:val="0"/>
          <w:numId w:val="1"/>
        </w:numPr>
        <w:spacing w:after="27" w:line="276" w:lineRule="auto"/>
        <w:rPr>
          <w:color w:val="auto"/>
        </w:rPr>
      </w:pPr>
      <w:r w:rsidRPr="00280983">
        <w:rPr>
          <w:color w:val="auto"/>
        </w:rPr>
        <w:t xml:space="preserve">Funkčné vzdelávanie  </w:t>
      </w:r>
    </w:p>
    <w:p w:rsidR="000E07A4" w:rsidRPr="00280983" w:rsidRDefault="000E07A4" w:rsidP="00BF4BA4">
      <w:pPr>
        <w:pStyle w:val="Default"/>
        <w:numPr>
          <w:ilvl w:val="0"/>
          <w:numId w:val="1"/>
        </w:numPr>
        <w:spacing w:after="27" w:line="276" w:lineRule="auto"/>
        <w:rPr>
          <w:color w:val="auto"/>
        </w:rPr>
      </w:pPr>
      <w:r w:rsidRPr="00280983">
        <w:rPr>
          <w:color w:val="auto"/>
        </w:rPr>
        <w:t xml:space="preserve">Rozširujúci modul funkčného vzdelávania </w:t>
      </w:r>
    </w:p>
    <w:p w:rsidR="000E07A4" w:rsidRPr="00280983" w:rsidRDefault="000E07A4" w:rsidP="00BF4BA4">
      <w:pPr>
        <w:pStyle w:val="Default"/>
        <w:numPr>
          <w:ilvl w:val="0"/>
          <w:numId w:val="1"/>
        </w:numPr>
        <w:spacing w:after="27" w:line="276" w:lineRule="auto"/>
        <w:rPr>
          <w:color w:val="auto"/>
        </w:rPr>
      </w:pPr>
      <w:r w:rsidRPr="00280983">
        <w:rPr>
          <w:color w:val="auto"/>
        </w:rPr>
        <w:t xml:space="preserve">Aktualizačné vzdelávanie podľa plánu školy </w:t>
      </w:r>
    </w:p>
    <w:p w:rsidR="000E07A4" w:rsidRPr="00280983" w:rsidRDefault="000E07A4" w:rsidP="00BF4BA4">
      <w:pPr>
        <w:pStyle w:val="Default"/>
        <w:numPr>
          <w:ilvl w:val="0"/>
          <w:numId w:val="1"/>
        </w:numPr>
        <w:spacing w:after="27" w:line="276" w:lineRule="auto"/>
        <w:rPr>
          <w:color w:val="auto"/>
        </w:rPr>
      </w:pPr>
      <w:r w:rsidRPr="00280983">
        <w:rPr>
          <w:color w:val="auto"/>
        </w:rPr>
        <w:t>Inovač</w:t>
      </w:r>
      <w:r w:rsidR="00BF4BA4">
        <w:rPr>
          <w:color w:val="auto"/>
        </w:rPr>
        <w:t xml:space="preserve">né </w:t>
      </w:r>
      <w:r w:rsidRPr="00280983">
        <w:rPr>
          <w:color w:val="auto"/>
        </w:rPr>
        <w:t xml:space="preserve">vzdelávanie podľa ponuky NIVaM a iných inštitúcií poskytujúcich vzdelávanie          </w:t>
      </w:r>
    </w:p>
    <w:p w:rsidR="000E07A4" w:rsidRPr="00280983" w:rsidRDefault="000E07A4" w:rsidP="00BF4BA4">
      <w:pPr>
        <w:pStyle w:val="Default"/>
        <w:numPr>
          <w:ilvl w:val="0"/>
          <w:numId w:val="1"/>
        </w:numPr>
        <w:spacing w:after="27" w:line="276" w:lineRule="auto"/>
        <w:rPr>
          <w:color w:val="auto"/>
        </w:rPr>
      </w:pPr>
      <w:r w:rsidRPr="00280983">
        <w:rPr>
          <w:color w:val="auto"/>
        </w:rPr>
        <w:t xml:space="preserve">Adaptačné vzdelávanie začínajúceho pedagogického zamestnanca                                         </w:t>
      </w:r>
    </w:p>
    <w:p w:rsidR="000E07A4" w:rsidRPr="00280983" w:rsidRDefault="000E07A4" w:rsidP="00BF4BA4">
      <w:pPr>
        <w:pStyle w:val="Default"/>
        <w:numPr>
          <w:ilvl w:val="0"/>
          <w:numId w:val="1"/>
        </w:numPr>
        <w:spacing w:after="27" w:line="276" w:lineRule="auto"/>
        <w:rPr>
          <w:color w:val="auto"/>
        </w:rPr>
      </w:pPr>
      <w:r w:rsidRPr="00280983">
        <w:rPr>
          <w:color w:val="auto"/>
        </w:rPr>
        <w:t xml:space="preserve">Prvá </w:t>
      </w:r>
      <w:r w:rsidR="00F529A1">
        <w:rPr>
          <w:color w:val="auto"/>
        </w:rPr>
        <w:t xml:space="preserve">a druhá </w:t>
      </w:r>
      <w:r w:rsidRPr="00280983">
        <w:rPr>
          <w:color w:val="auto"/>
        </w:rPr>
        <w:t>atestácia</w:t>
      </w:r>
    </w:p>
    <w:p w:rsidR="000E07A4" w:rsidRPr="00280983" w:rsidRDefault="000E07A4" w:rsidP="00BF4BA4">
      <w:pPr>
        <w:pStyle w:val="Default"/>
        <w:spacing w:line="276" w:lineRule="auto"/>
        <w:rPr>
          <w:color w:val="auto"/>
        </w:rPr>
      </w:pPr>
    </w:p>
    <w:p w:rsidR="000E07A4" w:rsidRPr="00280983" w:rsidRDefault="000E07A4" w:rsidP="00BF4BA4">
      <w:pPr>
        <w:pStyle w:val="Default"/>
        <w:spacing w:line="276" w:lineRule="auto"/>
        <w:rPr>
          <w:color w:val="auto"/>
        </w:rPr>
      </w:pPr>
      <w:r w:rsidRPr="00280983">
        <w:rPr>
          <w:color w:val="auto"/>
        </w:rPr>
        <w:t xml:space="preserve">Okrem vzdelávacích programov si budú učiteľky odborné kompetencie na skvalitnenie ďalšieho edukačného procesu v škole rozvíjať nasledovne: </w:t>
      </w:r>
    </w:p>
    <w:p w:rsidR="000E07A4" w:rsidRPr="00280983" w:rsidRDefault="000E07A4" w:rsidP="00BF4BA4">
      <w:pPr>
        <w:pStyle w:val="Default"/>
        <w:spacing w:after="27" w:line="276" w:lineRule="auto"/>
        <w:rPr>
          <w:color w:val="auto"/>
        </w:rPr>
      </w:pPr>
      <w:r w:rsidRPr="00280983">
        <w:rPr>
          <w:color w:val="auto"/>
        </w:rPr>
        <w:t xml:space="preserve">- účasťou na odborných seminároch uskutočňovaných NIVaM a inými inštitúciami, </w:t>
      </w:r>
    </w:p>
    <w:p w:rsidR="000E07A4" w:rsidRPr="00280983" w:rsidRDefault="000E07A4" w:rsidP="00BF4BA4">
      <w:pPr>
        <w:pStyle w:val="Default"/>
        <w:spacing w:after="27" w:line="276" w:lineRule="auto"/>
        <w:rPr>
          <w:color w:val="auto"/>
        </w:rPr>
      </w:pPr>
      <w:r w:rsidRPr="00280983">
        <w:rPr>
          <w:color w:val="auto"/>
        </w:rPr>
        <w:t xml:space="preserve">- vzájomnými výmenami pedagogických skúseností a zručností učiteliek MŠ, </w:t>
      </w:r>
    </w:p>
    <w:p w:rsidR="000E07A4" w:rsidRPr="00280983" w:rsidRDefault="000E07A4" w:rsidP="00BF4BA4">
      <w:pPr>
        <w:pStyle w:val="Default"/>
        <w:spacing w:after="27" w:line="276" w:lineRule="auto"/>
        <w:rPr>
          <w:color w:val="auto"/>
        </w:rPr>
      </w:pPr>
      <w:r w:rsidRPr="00280983">
        <w:rPr>
          <w:color w:val="auto"/>
        </w:rPr>
        <w:t xml:space="preserve">- štúdiom legislatívy, pedagogickej, metodickej a odbornej literatúry, </w:t>
      </w:r>
    </w:p>
    <w:p w:rsidR="000E07A4" w:rsidRPr="00280983" w:rsidRDefault="000E07A4" w:rsidP="00BF4BA4">
      <w:pPr>
        <w:pStyle w:val="Default"/>
        <w:spacing w:after="27" w:line="276" w:lineRule="auto"/>
        <w:rPr>
          <w:color w:val="auto"/>
        </w:rPr>
      </w:pPr>
      <w:r w:rsidRPr="00280983">
        <w:rPr>
          <w:color w:val="auto"/>
        </w:rPr>
        <w:t xml:space="preserve">- ústretovosťou k praktikantkám, ktoré nadobúdajú pedagogickú prax v našej Materskej škole, </w:t>
      </w:r>
    </w:p>
    <w:p w:rsidR="000E07A4" w:rsidRPr="00280983" w:rsidRDefault="000E07A4" w:rsidP="00BF4BA4">
      <w:pPr>
        <w:pStyle w:val="Default"/>
        <w:spacing w:line="276" w:lineRule="auto"/>
        <w:ind w:left="142" w:hanging="142"/>
        <w:rPr>
          <w:color w:val="auto"/>
        </w:rPr>
      </w:pPr>
      <w:r w:rsidRPr="00280983">
        <w:rPr>
          <w:color w:val="auto"/>
        </w:rPr>
        <w:t>- pravidelnou účasťou na aktualizačnom vzdelávaní MŠ,</w:t>
      </w:r>
      <w:r w:rsidR="003F0E12">
        <w:rPr>
          <w:color w:val="auto"/>
        </w:rPr>
        <w:t xml:space="preserve"> riešením problémov výchovno-vzdelávacieho procesu</w:t>
      </w:r>
    </w:p>
    <w:p w:rsidR="000E07A4" w:rsidRPr="00280983" w:rsidRDefault="000E07A4" w:rsidP="00BF4BA4">
      <w:pPr>
        <w:pStyle w:val="Default"/>
        <w:spacing w:line="276" w:lineRule="auto"/>
        <w:rPr>
          <w:color w:val="auto"/>
        </w:rPr>
      </w:pPr>
      <w:r w:rsidRPr="00280983">
        <w:rPr>
          <w:color w:val="auto"/>
        </w:rPr>
        <w:t xml:space="preserve">- tvorivou prácou v zavádzaní a využívaní produktívnych metód a foriem práce, </w:t>
      </w:r>
    </w:p>
    <w:p w:rsidR="000E07A4" w:rsidRPr="00280983" w:rsidRDefault="000E07A4" w:rsidP="00BF4BA4">
      <w:pPr>
        <w:pStyle w:val="Default"/>
        <w:spacing w:line="276" w:lineRule="auto"/>
        <w:ind w:left="142" w:hanging="142"/>
        <w:rPr>
          <w:color w:val="auto"/>
        </w:rPr>
      </w:pPr>
      <w:r w:rsidRPr="00280983">
        <w:rPr>
          <w:color w:val="auto"/>
        </w:rPr>
        <w:t xml:space="preserve">- získavaním kompetencií na využívanie informačných a komunikačných technológií vo výchovno-vzdelávacom procese, </w:t>
      </w:r>
    </w:p>
    <w:p w:rsidR="000E07A4" w:rsidRPr="00280983" w:rsidRDefault="000E07A4" w:rsidP="00BF4BA4">
      <w:pPr>
        <w:pStyle w:val="Default"/>
        <w:spacing w:line="276" w:lineRule="auto"/>
        <w:rPr>
          <w:color w:val="auto"/>
        </w:rPr>
      </w:pPr>
      <w:r w:rsidRPr="00280983">
        <w:rPr>
          <w:color w:val="auto"/>
        </w:rPr>
        <w:t xml:space="preserve">- zvyšovaním právneho vedomia, manažérskych schopností, </w:t>
      </w:r>
    </w:p>
    <w:p w:rsidR="000E07A4" w:rsidRPr="00280983" w:rsidRDefault="000E07A4" w:rsidP="00BF4BA4">
      <w:pPr>
        <w:pStyle w:val="Default"/>
        <w:spacing w:line="276" w:lineRule="auto"/>
        <w:rPr>
          <w:color w:val="auto"/>
        </w:rPr>
      </w:pPr>
      <w:r w:rsidRPr="00280983">
        <w:rPr>
          <w:color w:val="auto"/>
        </w:rPr>
        <w:t xml:space="preserve">- zameraním sa na rozvoj tvorivosti pedagóga, </w:t>
      </w:r>
    </w:p>
    <w:p w:rsidR="000E07A4" w:rsidRPr="00280983" w:rsidRDefault="000E07A4" w:rsidP="00BF4BA4">
      <w:pPr>
        <w:pStyle w:val="Default"/>
        <w:spacing w:line="276" w:lineRule="auto"/>
        <w:rPr>
          <w:color w:val="auto"/>
        </w:rPr>
      </w:pPr>
      <w:r w:rsidRPr="00280983">
        <w:rPr>
          <w:color w:val="auto"/>
        </w:rPr>
        <w:t xml:space="preserve">- hodnotením vlastného pôsobenia vo vzťahu k dieťaťu v pedagogickom diagnostikovaní, </w:t>
      </w:r>
    </w:p>
    <w:p w:rsidR="000E07A4" w:rsidRPr="00280983" w:rsidRDefault="000E07A4" w:rsidP="00BF4BA4">
      <w:pPr>
        <w:pStyle w:val="Default"/>
        <w:spacing w:line="276" w:lineRule="auto"/>
        <w:ind w:left="142" w:hanging="142"/>
        <w:rPr>
          <w:color w:val="auto"/>
        </w:rPr>
      </w:pPr>
      <w:r w:rsidRPr="00280983">
        <w:rPr>
          <w:color w:val="auto"/>
        </w:rPr>
        <w:t>- rozvíjaním multikultúrnych kompetencií učiteľa formovať postoje, zručnosti a vedomosti detí v oblasti ľudských práv.</w:t>
      </w:r>
    </w:p>
    <w:p w:rsidR="003F0E12" w:rsidRDefault="003F0E12" w:rsidP="000E07A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4BA4" w:rsidRDefault="00BF4BA4" w:rsidP="000E07A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1A3A" w:rsidRDefault="00F41A3A" w:rsidP="00BF4B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1A3A" w:rsidRDefault="00F41A3A" w:rsidP="00BF4B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1A3A" w:rsidRDefault="00F41A3A" w:rsidP="00BF4B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07A4" w:rsidRPr="00280983" w:rsidRDefault="000E07A4" w:rsidP="00B66C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0983">
        <w:rPr>
          <w:rFonts w:ascii="Times New Roman" w:hAnsi="Times New Roman" w:cs="Times New Roman"/>
          <w:b/>
          <w:sz w:val="24"/>
          <w:szCs w:val="24"/>
        </w:rPr>
        <w:t>Predbežný harmonogram vzdelávania pedagogických zamestnancov v r.</w:t>
      </w:r>
      <w:r w:rsidR="002809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2256">
        <w:rPr>
          <w:rFonts w:ascii="Times New Roman" w:hAnsi="Times New Roman" w:cs="Times New Roman"/>
          <w:b/>
          <w:sz w:val="24"/>
          <w:szCs w:val="24"/>
        </w:rPr>
        <w:t>2025</w:t>
      </w:r>
    </w:p>
    <w:tbl>
      <w:tblPr>
        <w:tblStyle w:val="Mriekatabuky"/>
        <w:tblW w:w="0" w:type="auto"/>
        <w:tblLook w:val="04A0"/>
      </w:tblPr>
      <w:tblGrid>
        <w:gridCol w:w="1951"/>
        <w:gridCol w:w="2126"/>
        <w:gridCol w:w="5135"/>
      </w:tblGrid>
      <w:tr w:rsidR="000E07A4" w:rsidRPr="00280983" w:rsidTr="00F372F8">
        <w:tc>
          <w:tcPr>
            <w:tcW w:w="1951" w:type="dxa"/>
          </w:tcPr>
          <w:p w:rsidR="000E07A4" w:rsidRPr="00280983" w:rsidRDefault="000E07A4" w:rsidP="006B22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983">
              <w:rPr>
                <w:rFonts w:ascii="Times New Roman" w:hAnsi="Times New Roman" w:cs="Times New Roman"/>
                <w:b/>
                <w:sz w:val="24"/>
                <w:szCs w:val="24"/>
              </w:rPr>
              <w:t>Vzdelávanie</w:t>
            </w:r>
          </w:p>
        </w:tc>
        <w:tc>
          <w:tcPr>
            <w:tcW w:w="2126" w:type="dxa"/>
          </w:tcPr>
          <w:p w:rsidR="000E07A4" w:rsidRPr="00280983" w:rsidRDefault="000E07A4" w:rsidP="006B22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983">
              <w:rPr>
                <w:rFonts w:ascii="Times New Roman" w:hAnsi="Times New Roman" w:cs="Times New Roman"/>
                <w:b/>
                <w:sz w:val="24"/>
                <w:szCs w:val="24"/>
              </w:rPr>
              <w:t>Predpokladaný termín</w:t>
            </w:r>
          </w:p>
        </w:tc>
        <w:tc>
          <w:tcPr>
            <w:tcW w:w="5135" w:type="dxa"/>
          </w:tcPr>
          <w:p w:rsidR="000E07A4" w:rsidRPr="00280983" w:rsidRDefault="000E07A4" w:rsidP="006B22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983">
              <w:rPr>
                <w:rFonts w:ascii="Times New Roman" w:hAnsi="Times New Roman" w:cs="Times New Roman"/>
                <w:b/>
                <w:sz w:val="24"/>
                <w:szCs w:val="24"/>
              </w:rPr>
              <w:t>Meno a priezvisko zamestnanca</w:t>
            </w:r>
          </w:p>
          <w:p w:rsidR="000E07A4" w:rsidRPr="00280983" w:rsidRDefault="000E07A4" w:rsidP="006B22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07A4" w:rsidRPr="00280983" w:rsidTr="00F372F8">
        <w:tc>
          <w:tcPr>
            <w:tcW w:w="1951" w:type="dxa"/>
          </w:tcPr>
          <w:p w:rsidR="00737569" w:rsidRDefault="00737569" w:rsidP="006B2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7A4" w:rsidRPr="00280983" w:rsidRDefault="000E07A4" w:rsidP="006B2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983">
              <w:rPr>
                <w:rFonts w:ascii="Times New Roman" w:hAnsi="Times New Roman" w:cs="Times New Roman"/>
                <w:sz w:val="24"/>
                <w:szCs w:val="24"/>
              </w:rPr>
              <w:t>Adaptačné</w:t>
            </w:r>
          </w:p>
        </w:tc>
        <w:tc>
          <w:tcPr>
            <w:tcW w:w="2126" w:type="dxa"/>
          </w:tcPr>
          <w:p w:rsidR="000E07A4" w:rsidRPr="00280983" w:rsidRDefault="00DB12D3" w:rsidP="00C56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35" w:type="dxa"/>
          </w:tcPr>
          <w:p w:rsidR="000E07A4" w:rsidRDefault="000E07A4" w:rsidP="006B2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983">
              <w:rPr>
                <w:rFonts w:ascii="Times New Roman" w:hAnsi="Times New Roman" w:cs="Times New Roman"/>
                <w:sz w:val="24"/>
                <w:szCs w:val="24"/>
              </w:rPr>
              <w:t xml:space="preserve"> podľa potreby školy pre novoprijatých </w:t>
            </w:r>
            <w:r w:rsidR="00BF4BA4">
              <w:rPr>
                <w:rFonts w:ascii="Times New Roman" w:hAnsi="Times New Roman" w:cs="Times New Roman"/>
                <w:sz w:val="24"/>
                <w:szCs w:val="24"/>
              </w:rPr>
              <w:t xml:space="preserve">pedagogických  </w:t>
            </w:r>
            <w:r w:rsidRPr="00280983">
              <w:rPr>
                <w:rFonts w:ascii="Times New Roman" w:hAnsi="Times New Roman" w:cs="Times New Roman"/>
                <w:sz w:val="24"/>
                <w:szCs w:val="24"/>
              </w:rPr>
              <w:t>zamestnancov</w:t>
            </w:r>
          </w:p>
          <w:p w:rsidR="00A008C6" w:rsidRPr="00280983" w:rsidRDefault="00A008C6" w:rsidP="006B22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7A4" w:rsidRPr="00280983" w:rsidTr="00F372F8">
        <w:tc>
          <w:tcPr>
            <w:tcW w:w="1951" w:type="dxa"/>
          </w:tcPr>
          <w:p w:rsidR="000E07A4" w:rsidRPr="00280983" w:rsidRDefault="000E07A4" w:rsidP="006B2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983">
              <w:rPr>
                <w:rFonts w:ascii="Times New Roman" w:hAnsi="Times New Roman" w:cs="Times New Roman"/>
                <w:sz w:val="24"/>
                <w:szCs w:val="24"/>
              </w:rPr>
              <w:t>Špecializačné</w:t>
            </w:r>
          </w:p>
          <w:p w:rsidR="000E07A4" w:rsidRPr="00280983" w:rsidRDefault="000E07A4" w:rsidP="006B22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E07A4" w:rsidRDefault="000E07A4" w:rsidP="006B2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AC1" w:rsidRPr="00280983" w:rsidRDefault="00294AC1" w:rsidP="006B2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5135" w:type="dxa"/>
          </w:tcPr>
          <w:p w:rsidR="000E07A4" w:rsidRPr="00280983" w:rsidRDefault="000E07A4" w:rsidP="006B2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7A4" w:rsidRPr="00280983" w:rsidRDefault="00294AC1" w:rsidP="006B2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</w:tr>
      <w:tr w:rsidR="000E07A4" w:rsidRPr="00280983" w:rsidTr="006B22FE">
        <w:trPr>
          <w:trHeight w:val="678"/>
        </w:trPr>
        <w:tc>
          <w:tcPr>
            <w:tcW w:w="1951" w:type="dxa"/>
          </w:tcPr>
          <w:p w:rsidR="000E07A4" w:rsidRPr="00280983" w:rsidRDefault="000E07A4" w:rsidP="006B2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983">
              <w:rPr>
                <w:rFonts w:ascii="Times New Roman" w:hAnsi="Times New Roman" w:cs="Times New Roman"/>
                <w:sz w:val="24"/>
                <w:szCs w:val="24"/>
              </w:rPr>
              <w:t>Funkčné</w:t>
            </w:r>
          </w:p>
          <w:p w:rsidR="000E07A4" w:rsidRDefault="000E07A4" w:rsidP="006B2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983">
              <w:rPr>
                <w:rFonts w:ascii="Times New Roman" w:hAnsi="Times New Roman" w:cs="Times New Roman"/>
                <w:sz w:val="24"/>
                <w:szCs w:val="24"/>
              </w:rPr>
              <w:t>základný modul</w:t>
            </w:r>
          </w:p>
          <w:p w:rsidR="006B22FE" w:rsidRPr="00280983" w:rsidRDefault="006B22FE" w:rsidP="006B22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008C6" w:rsidRDefault="00A008C6" w:rsidP="006B2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7A4" w:rsidRPr="00280983" w:rsidRDefault="007A3C63" w:rsidP="006B2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február- december 2025</w:t>
            </w:r>
          </w:p>
          <w:p w:rsidR="000E07A4" w:rsidRPr="00280983" w:rsidRDefault="000E07A4" w:rsidP="006B2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</w:tcPr>
          <w:p w:rsidR="00647E4D" w:rsidRDefault="00647E4D" w:rsidP="006B22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7A4" w:rsidRPr="00280983" w:rsidRDefault="00E32256" w:rsidP="004C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Bc. Zuzana Kalamenovičová</w:t>
            </w:r>
            <w:r w:rsidR="004C5830">
              <w:rPr>
                <w:rFonts w:ascii="Times New Roman" w:hAnsi="Times New Roman" w:cs="Times New Roman"/>
                <w:sz w:val="24"/>
                <w:szCs w:val="24"/>
              </w:rPr>
              <w:t>, Mgr. Soňa Štefíková</w:t>
            </w:r>
          </w:p>
          <w:p w:rsidR="000E07A4" w:rsidRPr="00280983" w:rsidRDefault="000E07A4" w:rsidP="006B22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7A4" w:rsidRPr="00280983" w:rsidTr="00F372F8">
        <w:tc>
          <w:tcPr>
            <w:tcW w:w="1951" w:type="dxa"/>
          </w:tcPr>
          <w:p w:rsidR="00737569" w:rsidRDefault="00737569" w:rsidP="006B2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7A4" w:rsidRPr="00280983" w:rsidRDefault="000E07A4" w:rsidP="006B2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983">
              <w:rPr>
                <w:rFonts w:ascii="Times New Roman" w:hAnsi="Times New Roman" w:cs="Times New Roman"/>
                <w:sz w:val="24"/>
                <w:szCs w:val="24"/>
              </w:rPr>
              <w:t>Aktualizačné</w:t>
            </w:r>
          </w:p>
        </w:tc>
        <w:tc>
          <w:tcPr>
            <w:tcW w:w="2126" w:type="dxa"/>
          </w:tcPr>
          <w:p w:rsidR="00D117A6" w:rsidRDefault="00D117A6" w:rsidP="00C56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január - december</w:t>
            </w:r>
          </w:p>
          <w:p w:rsidR="00C563F1" w:rsidRPr="00280983" w:rsidRDefault="00D117A6" w:rsidP="00C56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5135" w:type="dxa"/>
          </w:tcPr>
          <w:p w:rsidR="000E07A4" w:rsidRPr="00280983" w:rsidRDefault="000E07A4" w:rsidP="006B22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7A4" w:rsidRPr="00280983" w:rsidRDefault="000E07A4" w:rsidP="006B2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983">
              <w:rPr>
                <w:rFonts w:ascii="Times New Roman" w:hAnsi="Times New Roman" w:cs="Times New Roman"/>
                <w:sz w:val="24"/>
                <w:szCs w:val="24"/>
              </w:rPr>
              <w:t>všetci pedagogickí zamestnanci MŠ</w:t>
            </w:r>
          </w:p>
          <w:p w:rsidR="000E07A4" w:rsidRPr="00280983" w:rsidRDefault="000E07A4" w:rsidP="006B22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7A4" w:rsidRPr="00280983" w:rsidTr="00F372F8">
        <w:tc>
          <w:tcPr>
            <w:tcW w:w="1951" w:type="dxa"/>
          </w:tcPr>
          <w:p w:rsidR="00737569" w:rsidRDefault="00737569" w:rsidP="006B2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7A4" w:rsidRPr="00280983" w:rsidRDefault="000E07A4" w:rsidP="006B2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983">
              <w:rPr>
                <w:rFonts w:ascii="Times New Roman" w:hAnsi="Times New Roman" w:cs="Times New Roman"/>
                <w:sz w:val="24"/>
                <w:szCs w:val="24"/>
              </w:rPr>
              <w:t>Kvalifikačné</w:t>
            </w:r>
          </w:p>
        </w:tc>
        <w:tc>
          <w:tcPr>
            <w:tcW w:w="2126" w:type="dxa"/>
          </w:tcPr>
          <w:p w:rsidR="000E07A4" w:rsidRPr="00280983" w:rsidRDefault="000E07A4" w:rsidP="006B2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98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E07A4" w:rsidRPr="00280983" w:rsidRDefault="005E53D7" w:rsidP="006B2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5135" w:type="dxa"/>
          </w:tcPr>
          <w:p w:rsidR="000E07A4" w:rsidRPr="00280983" w:rsidRDefault="000E07A4" w:rsidP="006B22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7A4" w:rsidRPr="00280983" w:rsidRDefault="005E53D7" w:rsidP="006B2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</w:tr>
      <w:tr w:rsidR="000E07A4" w:rsidRPr="00280983" w:rsidTr="00F372F8">
        <w:tc>
          <w:tcPr>
            <w:tcW w:w="1951" w:type="dxa"/>
          </w:tcPr>
          <w:p w:rsidR="000E07A4" w:rsidRPr="00280983" w:rsidRDefault="000E07A4" w:rsidP="006B2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983">
              <w:rPr>
                <w:rFonts w:ascii="Times New Roman" w:hAnsi="Times New Roman" w:cs="Times New Roman"/>
                <w:sz w:val="24"/>
                <w:szCs w:val="24"/>
              </w:rPr>
              <w:t>Prípravné atestačné</w:t>
            </w:r>
          </w:p>
        </w:tc>
        <w:tc>
          <w:tcPr>
            <w:tcW w:w="2126" w:type="dxa"/>
          </w:tcPr>
          <w:p w:rsidR="000E07A4" w:rsidRPr="00280983" w:rsidRDefault="000E07A4" w:rsidP="006B22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7A4" w:rsidRPr="00280983" w:rsidRDefault="00C563F1" w:rsidP="006B2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5135" w:type="dxa"/>
          </w:tcPr>
          <w:p w:rsidR="000E07A4" w:rsidRPr="00280983" w:rsidRDefault="000E07A4" w:rsidP="006B22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7A4" w:rsidRDefault="00E32256" w:rsidP="006B2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Bc. Zuzana Florianová</w:t>
            </w:r>
          </w:p>
          <w:p w:rsidR="00B66CE5" w:rsidRPr="00280983" w:rsidRDefault="00B66CE5" w:rsidP="006B2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7A4" w:rsidRPr="00280983" w:rsidTr="00F372F8">
        <w:tc>
          <w:tcPr>
            <w:tcW w:w="1951" w:type="dxa"/>
          </w:tcPr>
          <w:p w:rsidR="00737569" w:rsidRDefault="00737569" w:rsidP="006B2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7A4" w:rsidRPr="00280983" w:rsidRDefault="000E07A4" w:rsidP="006B2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983">
              <w:rPr>
                <w:rFonts w:ascii="Times New Roman" w:hAnsi="Times New Roman" w:cs="Times New Roman"/>
                <w:sz w:val="24"/>
                <w:szCs w:val="24"/>
              </w:rPr>
              <w:t>Inovačné</w:t>
            </w:r>
          </w:p>
          <w:p w:rsidR="000E07A4" w:rsidRPr="00280983" w:rsidRDefault="000E07A4" w:rsidP="006B22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F2AB5" w:rsidRDefault="002F2AB5" w:rsidP="006B2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0E07A4" w:rsidRPr="00280983" w:rsidRDefault="000E07A4" w:rsidP="006B2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983">
              <w:rPr>
                <w:rFonts w:ascii="Times New Roman" w:hAnsi="Times New Roman" w:cs="Times New Roman"/>
                <w:sz w:val="24"/>
                <w:szCs w:val="24"/>
              </w:rPr>
              <w:t>podľa ponuky NIVaM Trnava</w:t>
            </w:r>
          </w:p>
        </w:tc>
        <w:tc>
          <w:tcPr>
            <w:tcW w:w="5135" w:type="dxa"/>
          </w:tcPr>
          <w:p w:rsidR="000E07A4" w:rsidRPr="00280983" w:rsidRDefault="008A1901" w:rsidP="00DD0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Bc. Zuzana Barčáková, Jana Tomešová, </w:t>
            </w:r>
            <w:r w:rsidR="00DD011B">
              <w:rPr>
                <w:rFonts w:ascii="Times New Roman" w:hAnsi="Times New Roman" w:cs="Times New Roman"/>
                <w:sz w:val="24"/>
                <w:szCs w:val="24"/>
              </w:rPr>
              <w:t xml:space="preserve">Mgr. Zdenka Pastuchová, Viktória Kalmanová, Soňa Balážová, </w:t>
            </w:r>
            <w:r w:rsidR="00A008C6">
              <w:rPr>
                <w:rFonts w:ascii="Times New Roman" w:hAnsi="Times New Roman" w:cs="Times New Roman"/>
                <w:sz w:val="24"/>
                <w:szCs w:val="24"/>
              </w:rPr>
              <w:t xml:space="preserve">Jana Štefková, </w:t>
            </w:r>
            <w:r w:rsidR="00DD011B">
              <w:rPr>
                <w:rFonts w:ascii="Times New Roman" w:hAnsi="Times New Roman" w:cs="Times New Roman"/>
                <w:sz w:val="24"/>
                <w:szCs w:val="24"/>
              </w:rPr>
              <w:t xml:space="preserve">Jana Kovalovská, </w:t>
            </w:r>
            <w:r w:rsidR="003F5D82">
              <w:rPr>
                <w:rFonts w:ascii="Times New Roman" w:hAnsi="Times New Roman" w:cs="Times New Roman"/>
                <w:sz w:val="24"/>
                <w:szCs w:val="24"/>
              </w:rPr>
              <w:t>Renáta Rýzková</w:t>
            </w:r>
            <w:r w:rsidR="00F54CBE">
              <w:rPr>
                <w:rFonts w:ascii="Times New Roman" w:hAnsi="Times New Roman" w:cs="Times New Roman"/>
                <w:sz w:val="24"/>
                <w:szCs w:val="24"/>
              </w:rPr>
              <w:t>, Bc. Božena Jurková</w:t>
            </w:r>
            <w:r w:rsidR="004C5830">
              <w:rPr>
                <w:rFonts w:ascii="Times New Roman" w:hAnsi="Times New Roman" w:cs="Times New Roman"/>
                <w:sz w:val="24"/>
                <w:szCs w:val="24"/>
              </w:rPr>
              <w:t>, Bc. Dominika Matulová, Darina Malatinská, Monika Lanková</w:t>
            </w:r>
            <w:r w:rsidR="0091709C">
              <w:rPr>
                <w:rFonts w:ascii="Times New Roman" w:hAnsi="Times New Roman" w:cs="Times New Roman"/>
                <w:sz w:val="24"/>
                <w:szCs w:val="24"/>
              </w:rPr>
              <w:t>, Zuzana Holá, Lenka Špotáková</w:t>
            </w:r>
          </w:p>
        </w:tc>
      </w:tr>
      <w:tr w:rsidR="000E07A4" w:rsidRPr="00280983" w:rsidTr="00F372F8">
        <w:tc>
          <w:tcPr>
            <w:tcW w:w="1951" w:type="dxa"/>
          </w:tcPr>
          <w:p w:rsidR="000E07A4" w:rsidRPr="00280983" w:rsidRDefault="000E07A4" w:rsidP="006B2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983">
              <w:rPr>
                <w:rFonts w:ascii="Times New Roman" w:hAnsi="Times New Roman" w:cs="Times New Roman"/>
                <w:sz w:val="24"/>
                <w:szCs w:val="24"/>
              </w:rPr>
              <w:t>Funkčné</w:t>
            </w:r>
          </w:p>
          <w:p w:rsidR="000E07A4" w:rsidRPr="00280983" w:rsidRDefault="000E07A4" w:rsidP="006B2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983">
              <w:rPr>
                <w:rFonts w:ascii="Times New Roman" w:hAnsi="Times New Roman" w:cs="Times New Roman"/>
                <w:sz w:val="24"/>
                <w:szCs w:val="24"/>
              </w:rPr>
              <w:t>rozširujúci modul</w:t>
            </w:r>
          </w:p>
          <w:p w:rsidR="000E07A4" w:rsidRPr="00280983" w:rsidRDefault="000E07A4" w:rsidP="006B22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008C6" w:rsidRPr="00280983" w:rsidRDefault="00E32256" w:rsidP="006B2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január- december 2025</w:t>
            </w:r>
          </w:p>
          <w:p w:rsidR="0064606C" w:rsidRPr="00280983" w:rsidRDefault="0064606C" w:rsidP="00C56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</w:tcPr>
          <w:p w:rsidR="000E07A4" w:rsidRDefault="000E07A4" w:rsidP="006B22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06C" w:rsidRPr="00280983" w:rsidRDefault="00A008C6" w:rsidP="006B2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Mgr. Zuzana Barčáková, Monika Palicová</w:t>
            </w:r>
          </w:p>
        </w:tc>
      </w:tr>
    </w:tbl>
    <w:p w:rsidR="001414F5" w:rsidRDefault="001414F5" w:rsidP="001414F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41A3A" w:rsidRDefault="00F41A3A" w:rsidP="00F41A3A">
      <w:pPr>
        <w:rPr>
          <w:rFonts w:ascii="Times New Roman" w:hAnsi="Times New Roman" w:cs="Times New Roman"/>
          <w:sz w:val="24"/>
          <w:szCs w:val="24"/>
        </w:rPr>
      </w:pPr>
      <w:r w:rsidRPr="00F41A3A">
        <w:rPr>
          <w:rFonts w:ascii="Times New Roman" w:hAnsi="Times New Roman" w:cs="Times New Roman"/>
          <w:sz w:val="24"/>
          <w:szCs w:val="24"/>
        </w:rPr>
        <w:t xml:space="preserve">Podľa </w:t>
      </w:r>
      <w:hyperlink r:id="rId7" w:tooltip="(4) Ak ide o učiteľa materskej školy, ktorý nezískal vysokoškolské vzdelanie, vyžaduje sa okrem splnenia kvalifikačných predpokladov podľa odseku 1 aj absolvovanie inovačného vzdelávania v oblasti pedagogiky predprimárneho vzdelávania v rozsahu 50 až 100 hodín" w:history="1">
        <w:r w:rsidRPr="00F41A3A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§ 10 ods. 4 zákona č. 138/2019 Z. z. </w:t>
        </w:r>
      </w:hyperlink>
      <w:r w:rsidRPr="00F41A3A">
        <w:rPr>
          <w:rFonts w:ascii="Times New Roman" w:hAnsi="Times New Roman" w:cs="Times New Roman"/>
          <w:sz w:val="24"/>
          <w:szCs w:val="24"/>
        </w:rPr>
        <w:t xml:space="preserve">o pedagogických zamestnancoch a odborných zamestnancoch a o zmene a doplnení niektorých zákonov ak ide o učiteľa MŠ, ktorý nezískal vysokoškolské vzdelanie, vyžaduje sa okrem splnenia kvalifikačných predpokladov podľa odseku 1 aj </w:t>
      </w:r>
      <w:r w:rsidRPr="00F41A3A">
        <w:rPr>
          <w:rStyle w:val="Siln"/>
          <w:rFonts w:ascii="Times New Roman" w:hAnsi="Times New Roman" w:cs="Times New Roman"/>
          <w:b w:val="0"/>
          <w:sz w:val="24"/>
          <w:szCs w:val="24"/>
        </w:rPr>
        <w:t>absolvovanie inovačného vzdelávania v oblasti pedagogiky predprimárneho vzdelávania</w:t>
      </w:r>
      <w:r w:rsidRPr="00F41A3A">
        <w:rPr>
          <w:rFonts w:ascii="Times New Roman" w:hAnsi="Times New Roman" w:cs="Times New Roman"/>
          <w:sz w:val="24"/>
          <w:szCs w:val="24"/>
        </w:rPr>
        <w:t xml:space="preserve"> v rozsahu 50 až 100 hodín; učiteľ materskej školy ho absolvuje do siedmich rokov od začiatku výkonu pracovnej činnosti pedagogického zamestnanca. Inovačné vzdelávanie v oblasti pedagogiky predprimárneho vzdelávania učiteľ materskej školy, ktorý nezískal vysokoškolské vzdelanie, absolvuje každých sedem rokov.</w:t>
      </w:r>
    </w:p>
    <w:p w:rsidR="00F41A3A" w:rsidRPr="00B66CE5" w:rsidRDefault="00F41A3A" w:rsidP="000E07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Podľa prechodného ustanovenia zákona č.138/2019 Z.z. účinného od 1.septembra 2023 - §90f zákona č. 138/2019 Z.z., u</w:t>
      </w:r>
      <w:r w:rsidRPr="00673768">
        <w:rPr>
          <w:rFonts w:ascii="Times New Roman" w:eastAsia="Times New Roman" w:hAnsi="Times New Roman" w:cs="Times New Roman"/>
          <w:sz w:val="24"/>
          <w:szCs w:val="24"/>
          <w:lang w:eastAsia="sk-SK"/>
        </w:rPr>
        <w:t>čiteľ materskej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73768">
        <w:rPr>
          <w:rFonts w:ascii="Times New Roman" w:eastAsia="Times New Roman" w:hAnsi="Times New Roman" w:cs="Times New Roman"/>
          <w:sz w:val="24"/>
          <w:szCs w:val="24"/>
          <w:lang w:eastAsia="sk-SK"/>
        </w:rPr>
        <w:t>školy,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73768">
        <w:rPr>
          <w:rFonts w:ascii="Times New Roman" w:eastAsia="Times New Roman" w:hAnsi="Times New Roman" w:cs="Times New Roman"/>
          <w:sz w:val="24"/>
          <w:szCs w:val="24"/>
          <w:lang w:eastAsia="sk-SK"/>
        </w:rPr>
        <w:t>ktorý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73768">
        <w:rPr>
          <w:rFonts w:ascii="Times New Roman" w:eastAsia="Times New Roman" w:hAnsi="Times New Roman" w:cs="Times New Roman"/>
          <w:sz w:val="24"/>
          <w:szCs w:val="24"/>
          <w:lang w:eastAsia="sk-SK"/>
        </w:rPr>
        <w:t>nezískal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73768">
        <w:rPr>
          <w:rFonts w:ascii="Times New Roman" w:eastAsia="Times New Roman" w:hAnsi="Times New Roman" w:cs="Times New Roman"/>
          <w:sz w:val="24"/>
          <w:szCs w:val="24"/>
          <w:lang w:eastAsia="sk-SK"/>
        </w:rPr>
        <w:t>vysokoškolské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73768">
        <w:rPr>
          <w:rFonts w:ascii="Times New Roman" w:eastAsia="Times New Roman" w:hAnsi="Times New Roman" w:cs="Times New Roman"/>
          <w:sz w:val="24"/>
          <w:szCs w:val="24"/>
          <w:lang w:eastAsia="sk-SK"/>
        </w:rPr>
        <w:t>vzdelanie,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73768">
        <w:rPr>
          <w:rFonts w:ascii="Times New Roman" w:eastAsia="Times New Roman" w:hAnsi="Times New Roman" w:cs="Times New Roman"/>
          <w:sz w:val="24"/>
          <w:szCs w:val="24"/>
          <w:lang w:eastAsia="sk-SK"/>
        </w:rPr>
        <w:t>absolvuje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73768">
        <w:rPr>
          <w:rFonts w:ascii="Times New Roman" w:eastAsia="Times New Roman" w:hAnsi="Times New Roman" w:cs="Times New Roman"/>
          <w:sz w:val="24"/>
          <w:szCs w:val="24"/>
          <w:lang w:eastAsia="sk-SK"/>
        </w:rPr>
        <w:t>inovačné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73768">
        <w:rPr>
          <w:rFonts w:ascii="Times New Roman" w:eastAsia="Times New Roman" w:hAnsi="Times New Roman" w:cs="Times New Roman"/>
          <w:sz w:val="24"/>
          <w:szCs w:val="24"/>
          <w:lang w:eastAsia="sk-SK"/>
        </w:rPr>
        <w:t>vzdelávanie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73768">
        <w:rPr>
          <w:rFonts w:ascii="Times New Roman" w:eastAsia="Times New Roman" w:hAnsi="Times New Roman" w:cs="Times New Roman"/>
          <w:sz w:val="24"/>
          <w:szCs w:val="24"/>
          <w:lang w:eastAsia="sk-SK"/>
        </w:rPr>
        <w:t>v oblasti pedagogiky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73768">
        <w:rPr>
          <w:rFonts w:ascii="Times New Roman" w:eastAsia="Times New Roman" w:hAnsi="Times New Roman" w:cs="Times New Roman"/>
          <w:sz w:val="24"/>
          <w:szCs w:val="24"/>
          <w:lang w:eastAsia="sk-SK"/>
        </w:rPr>
        <w:t>predprimárneho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73768">
        <w:rPr>
          <w:rFonts w:ascii="Times New Roman" w:eastAsia="Times New Roman" w:hAnsi="Times New Roman" w:cs="Times New Roman"/>
          <w:sz w:val="24"/>
          <w:szCs w:val="24"/>
          <w:lang w:eastAsia="sk-SK"/>
        </w:rPr>
        <w:t>vzdelávania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73768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673768">
        <w:rPr>
          <w:rFonts w:ascii="Times New Roman" w:eastAsia="Times New Roman" w:hAnsi="Times New Roman" w:cs="Times New Roman"/>
          <w:sz w:val="24"/>
          <w:szCs w:val="24"/>
          <w:lang w:eastAsia="sk-SK"/>
        </w:rPr>
        <w:t>rozsahu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73768">
        <w:rPr>
          <w:rFonts w:ascii="Times New Roman" w:eastAsia="Times New Roman" w:hAnsi="Times New Roman" w:cs="Times New Roman"/>
          <w:sz w:val="24"/>
          <w:szCs w:val="24"/>
          <w:lang w:eastAsia="sk-SK"/>
        </w:rPr>
        <w:t>50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73768">
        <w:rPr>
          <w:rFonts w:ascii="Times New Roman" w:eastAsia="Times New Roman" w:hAnsi="Times New Roman" w:cs="Times New Roman"/>
          <w:sz w:val="24"/>
          <w:szCs w:val="24"/>
          <w:lang w:eastAsia="sk-SK"/>
        </w:rPr>
        <w:t>až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73768">
        <w:rPr>
          <w:rFonts w:ascii="Times New Roman" w:eastAsia="Times New Roman" w:hAnsi="Times New Roman" w:cs="Times New Roman"/>
          <w:sz w:val="24"/>
          <w:szCs w:val="24"/>
          <w:lang w:eastAsia="sk-SK"/>
        </w:rPr>
        <w:t>100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73768">
        <w:rPr>
          <w:rFonts w:ascii="Times New Roman" w:eastAsia="Times New Roman" w:hAnsi="Times New Roman" w:cs="Times New Roman"/>
          <w:sz w:val="24"/>
          <w:szCs w:val="24"/>
          <w:lang w:eastAsia="sk-SK"/>
        </w:rPr>
        <w:t>hodín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73768">
        <w:rPr>
          <w:rFonts w:ascii="Times New Roman" w:eastAsia="Times New Roman" w:hAnsi="Times New Roman" w:cs="Times New Roman"/>
          <w:sz w:val="24"/>
          <w:szCs w:val="24"/>
          <w:lang w:eastAsia="sk-SK"/>
        </w:rPr>
        <w:t>do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73768">
        <w:rPr>
          <w:rFonts w:ascii="Times New Roman" w:eastAsia="Times New Roman" w:hAnsi="Times New Roman" w:cs="Times New Roman"/>
          <w:sz w:val="24"/>
          <w:szCs w:val="24"/>
          <w:lang w:eastAsia="sk-SK"/>
        </w:rPr>
        <w:t>31.augusta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2030</w:t>
      </w:r>
      <w:r w:rsidRPr="00673768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647E4D" w:rsidRDefault="00647E4D" w:rsidP="000E07A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Atestácia</w:t>
      </w:r>
    </w:p>
    <w:p w:rsidR="00647E4D" w:rsidRDefault="000E07A4" w:rsidP="00647E4D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647E4D">
        <w:rPr>
          <w:rFonts w:ascii="Times New Roman" w:hAnsi="Times New Roman" w:cs="Times New Roman"/>
          <w:b/>
          <w:sz w:val="24"/>
          <w:szCs w:val="24"/>
        </w:rPr>
        <w:t>§</w:t>
      </w:r>
      <w:r w:rsidRPr="00AB4775">
        <w:rPr>
          <w:rFonts w:ascii="Times New Roman" w:hAnsi="Times New Roman" w:cs="Times New Roman"/>
          <w:sz w:val="24"/>
          <w:szCs w:val="24"/>
        </w:rPr>
        <w:t>59</w:t>
      </w:r>
      <w:r w:rsidRPr="00647E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7E4D">
        <w:rPr>
          <w:rFonts w:ascii="Times New Roman" w:hAnsi="Times New Roman" w:cs="Times New Roman"/>
          <w:sz w:val="24"/>
          <w:szCs w:val="24"/>
        </w:rPr>
        <w:t xml:space="preserve"> Atestácia je štátne overenie profesijných kompetencií vymedzených profesijným štandardom pre príslušnú kategóriu a podkategóriu pedagogického zamestnanca a príslušnú kategóriu odborného zamestnanca, pre príslušný kariérový stupeň, získaných vzdelávaním, sebavzdelávaním alebo výkonom pracovnej činnosti.</w:t>
      </w:r>
      <w:r w:rsidR="00647E4D" w:rsidRPr="00647E4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</w:p>
    <w:p w:rsidR="00647E4D" w:rsidRDefault="00647E4D" w:rsidP="00647E4D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AB4775" w:rsidRDefault="000E07A4" w:rsidP="00647E4D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647E4D">
        <w:rPr>
          <w:rFonts w:ascii="Times New Roman" w:hAnsi="Times New Roman" w:cs="Times New Roman"/>
          <w:sz w:val="24"/>
          <w:szCs w:val="24"/>
        </w:rPr>
        <w:lastRenderedPageBreak/>
        <w:t>Atestáciu môže vykonať pedagogický zamestnanec a odborný zamestnanec, ktorý spĺňa kvalifikačný predpoklad na výkon pracovnej činnosti v príslušnej kategórii alebo v podkategórii pedagogického zamestnanca alebo odborného zamestnanca a získal najmenej:</w:t>
      </w:r>
    </w:p>
    <w:p w:rsidR="00647E4D" w:rsidRPr="00647E4D" w:rsidRDefault="00647E4D" w:rsidP="00647E4D">
      <w:pPr>
        <w:pStyle w:val="Bezriadkovania"/>
        <w:rPr>
          <w:rFonts w:ascii="Times New Roman" w:hAnsi="Times New Roman" w:cs="Times New Roman"/>
          <w:sz w:val="24"/>
          <w:szCs w:val="24"/>
          <w:lang w:eastAsia="sk-SK"/>
        </w:rPr>
      </w:pPr>
      <w:r w:rsidRPr="00647E4D">
        <w:rPr>
          <w:rFonts w:ascii="Times New Roman" w:hAnsi="Times New Roman" w:cs="Times New Roman"/>
          <w:i/>
          <w:iCs/>
          <w:sz w:val="24"/>
          <w:szCs w:val="24"/>
          <w:lang w:eastAsia="sk-SK"/>
        </w:rPr>
        <w:t xml:space="preserve"> </w:t>
      </w:r>
      <w:r w:rsidRPr="00737569">
        <w:rPr>
          <w:rFonts w:ascii="Times New Roman" w:hAnsi="Times New Roman" w:cs="Times New Roman"/>
          <w:iCs/>
          <w:sz w:val="24"/>
          <w:szCs w:val="24"/>
          <w:lang w:eastAsia="sk-SK"/>
        </w:rPr>
        <w:t>a)</w:t>
      </w:r>
      <w:r w:rsidRPr="00647E4D">
        <w:rPr>
          <w:rFonts w:ascii="Times New Roman" w:hAnsi="Times New Roman" w:cs="Times New Roman"/>
          <w:sz w:val="24"/>
          <w:szCs w:val="24"/>
          <w:lang w:eastAsia="sk-SK"/>
        </w:rPr>
        <w:t xml:space="preserve"> úplné stredné odborné vzdelanie, ak ide o prvú atestáciu,                                                                       alebo                                                                                                                                                                </w:t>
      </w:r>
      <w:r w:rsidRPr="00737569">
        <w:rPr>
          <w:rFonts w:ascii="Times New Roman" w:hAnsi="Times New Roman" w:cs="Times New Roman"/>
          <w:iCs/>
          <w:sz w:val="24"/>
          <w:szCs w:val="24"/>
          <w:lang w:eastAsia="sk-SK"/>
        </w:rPr>
        <w:t>b)</w:t>
      </w:r>
      <w:r w:rsidRPr="00647E4D">
        <w:rPr>
          <w:rFonts w:ascii="Times New Roman" w:hAnsi="Times New Roman" w:cs="Times New Roman"/>
          <w:sz w:val="24"/>
          <w:szCs w:val="24"/>
          <w:lang w:eastAsia="sk-SK"/>
        </w:rPr>
        <w:t xml:space="preserve"> vysokoškolské vzdelanie druhého stupňa, ak ide o druhú atestáciu.</w:t>
      </w:r>
    </w:p>
    <w:tbl>
      <w:tblPr>
        <w:tblpPr w:leftFromText="141" w:rightFromText="141" w:vertAnchor="text" w:tblpY="1"/>
        <w:tblOverlap w:val="never"/>
        <w:tblW w:w="949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30"/>
        <w:gridCol w:w="9340"/>
        <w:gridCol w:w="45"/>
      </w:tblGrid>
      <w:tr w:rsidR="000E07A4" w:rsidRPr="00647E4D" w:rsidTr="00647E4D">
        <w:trPr>
          <w:gridAfter w:val="2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E07A4" w:rsidRPr="00647E4D" w:rsidRDefault="000E07A4" w:rsidP="00647E4D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E07A4" w:rsidRPr="00647E4D" w:rsidTr="00647E4D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E07A4" w:rsidRPr="00647E4D" w:rsidRDefault="000E07A4" w:rsidP="0064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0E07A4" w:rsidRPr="00647E4D" w:rsidRDefault="000E07A4" w:rsidP="00647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E07A4" w:rsidRPr="00647E4D" w:rsidTr="00647E4D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E07A4" w:rsidRPr="00647E4D" w:rsidRDefault="000E07A4" w:rsidP="0064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0E07A4" w:rsidRPr="00647E4D" w:rsidRDefault="000E07A4" w:rsidP="00647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E07A4" w:rsidRPr="00280983" w:rsidTr="00647E4D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E07A4" w:rsidRPr="00280983" w:rsidRDefault="000E07A4" w:rsidP="00BF4B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0E07A4" w:rsidRPr="00280983" w:rsidRDefault="000E07A4" w:rsidP="00647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098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Pedagogický zamestnanec a odborný zamestnanec môže vykonať prvú atestáciu najskôr po piatich rokoch od zaradenia do kariérového stupňa samostatný pedagogický zamestnanec alebo samostatný odborný zamestnanec.</w:t>
            </w:r>
          </w:p>
        </w:tc>
      </w:tr>
      <w:tr w:rsidR="000E07A4" w:rsidRPr="00280983" w:rsidTr="00647E4D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E07A4" w:rsidRPr="00280983" w:rsidRDefault="000E07A4" w:rsidP="00AB4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0E07A4" w:rsidRPr="00280983" w:rsidRDefault="000E07A4" w:rsidP="00647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098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Pedagogický zamestnanec a odborný zamestnanec môže vykonať druhú atestáciu najskôr po piatich rokoch od zaradenia do kariérového stupňa pedagogický zamestnanec s prvou atestáciou</w:t>
            </w:r>
            <w:r w:rsidR="00647E4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Pr="0028098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alebo odborný zamestnanec s prvou atestáciou.</w:t>
            </w:r>
          </w:p>
        </w:tc>
      </w:tr>
      <w:tr w:rsidR="000E07A4" w:rsidRPr="00280983" w:rsidTr="00647E4D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0E07A4" w:rsidRPr="00280983" w:rsidRDefault="000E07A4" w:rsidP="00647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E07A4" w:rsidRPr="00280983" w:rsidTr="00647E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07A4" w:rsidRPr="00280983" w:rsidRDefault="000E07A4" w:rsidP="0064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1414F5" w:rsidRDefault="001414F5" w:rsidP="00647E4D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  <w:p w:rsidR="000E07A4" w:rsidRPr="00280983" w:rsidRDefault="000E07A4" w:rsidP="00647E4D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280983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Podľa §60 sa atestácia skladá z:</w:t>
            </w:r>
          </w:p>
          <w:p w:rsidR="000E07A4" w:rsidRPr="00280983" w:rsidRDefault="000E07A4" w:rsidP="00647E4D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280983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a) prípravy na atestačnú skúšku, ktorou je posúdenie atestačného portfólia a doplnenie atestačného portfólia,</w:t>
            </w:r>
          </w:p>
        </w:tc>
      </w:tr>
      <w:tr w:rsidR="000E07A4" w:rsidRPr="00280983" w:rsidTr="00647E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07A4" w:rsidRPr="00280983" w:rsidRDefault="000E07A4" w:rsidP="0064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0E07A4" w:rsidRPr="00280983" w:rsidRDefault="000E07A4" w:rsidP="00647E4D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280983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b)</w:t>
            </w:r>
            <w:r w:rsidR="00AB4775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 obhajoby atestačného portfólia </w:t>
            </w:r>
            <w:r w:rsidRPr="00280983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a</w:t>
            </w:r>
          </w:p>
        </w:tc>
      </w:tr>
      <w:tr w:rsidR="000E07A4" w:rsidRPr="00280983" w:rsidTr="00647E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07A4" w:rsidRPr="00280983" w:rsidRDefault="000E07A4" w:rsidP="0064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0E07A4" w:rsidRPr="00280983" w:rsidRDefault="000E07A4" w:rsidP="00647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09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sk-SK"/>
              </w:rPr>
              <w:t>c</w:t>
            </w:r>
            <w:r w:rsidRPr="0028098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)</w:t>
            </w:r>
            <w:r w:rsidRPr="0028098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atestačnej skúšky.</w:t>
            </w:r>
          </w:p>
        </w:tc>
      </w:tr>
    </w:tbl>
    <w:p w:rsidR="000E07A4" w:rsidRPr="00280983" w:rsidRDefault="00647E4D" w:rsidP="000E07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  <w:r w:rsidR="000E07A4" w:rsidRPr="00280983">
        <w:rPr>
          <w:rFonts w:ascii="Times New Roman" w:hAnsi="Times New Roman" w:cs="Times New Roman"/>
          <w:sz w:val="24"/>
          <w:szCs w:val="24"/>
        </w:rPr>
        <w:t>Žiadosť o vykonanie atestácie podľa §61 ods.1 zákona podáva pedagogický zamestnanec a odborný zamestnanec atestačnej organizácii. Prílohou k žiadosti je atestačné portfólio pedagogického zamestnanca alebo odborného zamestnanca. Učiteľ</w:t>
      </w:r>
      <w:r w:rsidR="00FD3F2C">
        <w:rPr>
          <w:rFonts w:ascii="Times New Roman" w:hAnsi="Times New Roman" w:cs="Times New Roman"/>
          <w:sz w:val="24"/>
          <w:szCs w:val="24"/>
        </w:rPr>
        <w:t xml:space="preserve"> vykoná atestáciu vo zvolenom te</w:t>
      </w:r>
      <w:r w:rsidR="000E07A4" w:rsidRPr="00280983">
        <w:rPr>
          <w:rFonts w:ascii="Times New Roman" w:hAnsi="Times New Roman" w:cs="Times New Roman"/>
          <w:sz w:val="24"/>
          <w:szCs w:val="24"/>
        </w:rPr>
        <w:t>matickom okruhu z niektorého z predmetov, na ktorého vyučovanie spĺňa kvalifikačné predpoklady.                                                                                                                                                         Vykonaním atestácie splní pedagogický zamestnanec a odborný zamestnanec podmienku zaradenia do kariérového stupňa podľa §28 zákona.</w:t>
      </w:r>
    </w:p>
    <w:p w:rsidR="000E07A4" w:rsidRPr="00280983" w:rsidRDefault="000E07A4" w:rsidP="000E07A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Look w:val="04A0"/>
      </w:tblPr>
      <w:tblGrid>
        <w:gridCol w:w="3070"/>
        <w:gridCol w:w="3071"/>
        <w:gridCol w:w="3071"/>
      </w:tblGrid>
      <w:tr w:rsidR="000E07A4" w:rsidRPr="00280983" w:rsidTr="00F372F8">
        <w:tc>
          <w:tcPr>
            <w:tcW w:w="3070" w:type="dxa"/>
          </w:tcPr>
          <w:p w:rsidR="000E07A4" w:rsidRPr="00280983" w:rsidRDefault="000E07A4" w:rsidP="00F372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983">
              <w:rPr>
                <w:rFonts w:ascii="Times New Roman" w:hAnsi="Times New Roman" w:cs="Times New Roman"/>
                <w:b/>
                <w:sz w:val="24"/>
                <w:szCs w:val="24"/>
              </w:rPr>
              <w:t>Atestácia</w:t>
            </w:r>
          </w:p>
          <w:p w:rsidR="000E07A4" w:rsidRPr="00280983" w:rsidRDefault="000E07A4" w:rsidP="00F372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1" w:type="dxa"/>
          </w:tcPr>
          <w:p w:rsidR="000E07A4" w:rsidRPr="00280983" w:rsidRDefault="000E07A4" w:rsidP="00F372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983">
              <w:rPr>
                <w:rFonts w:ascii="Times New Roman" w:hAnsi="Times New Roman" w:cs="Times New Roman"/>
                <w:b/>
                <w:sz w:val="24"/>
                <w:szCs w:val="24"/>
              </w:rPr>
              <w:t>Predpokladaný termín</w:t>
            </w:r>
          </w:p>
        </w:tc>
        <w:tc>
          <w:tcPr>
            <w:tcW w:w="3071" w:type="dxa"/>
          </w:tcPr>
          <w:p w:rsidR="000E07A4" w:rsidRPr="00280983" w:rsidRDefault="000E07A4" w:rsidP="00F372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983">
              <w:rPr>
                <w:rFonts w:ascii="Times New Roman" w:hAnsi="Times New Roman" w:cs="Times New Roman"/>
                <w:b/>
                <w:sz w:val="24"/>
                <w:szCs w:val="24"/>
              </w:rPr>
              <w:t>Meno a priezvisko zamestnanca</w:t>
            </w:r>
          </w:p>
        </w:tc>
      </w:tr>
      <w:tr w:rsidR="000E07A4" w:rsidRPr="00280983" w:rsidTr="00F372F8">
        <w:tc>
          <w:tcPr>
            <w:tcW w:w="3070" w:type="dxa"/>
          </w:tcPr>
          <w:p w:rsidR="000E07A4" w:rsidRPr="00280983" w:rsidRDefault="000E07A4" w:rsidP="00F37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983">
              <w:rPr>
                <w:rFonts w:ascii="Times New Roman" w:hAnsi="Times New Roman" w:cs="Times New Roman"/>
                <w:sz w:val="24"/>
                <w:szCs w:val="24"/>
              </w:rPr>
              <w:t>Prvá</w:t>
            </w:r>
          </w:p>
          <w:p w:rsidR="000E07A4" w:rsidRPr="00280983" w:rsidRDefault="000E07A4" w:rsidP="00F37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0E07A4" w:rsidRPr="00280983" w:rsidRDefault="000E07A4" w:rsidP="00E32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0E07A4" w:rsidRPr="00280983" w:rsidRDefault="00E32256" w:rsidP="00E3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Bc. Zuzana Florianová</w:t>
            </w:r>
          </w:p>
        </w:tc>
      </w:tr>
      <w:tr w:rsidR="000E07A4" w:rsidRPr="00280983" w:rsidTr="00F372F8">
        <w:tc>
          <w:tcPr>
            <w:tcW w:w="3070" w:type="dxa"/>
          </w:tcPr>
          <w:p w:rsidR="000E07A4" w:rsidRPr="00280983" w:rsidRDefault="000E07A4" w:rsidP="00F37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983">
              <w:rPr>
                <w:rFonts w:ascii="Times New Roman" w:hAnsi="Times New Roman" w:cs="Times New Roman"/>
                <w:sz w:val="24"/>
                <w:szCs w:val="24"/>
              </w:rPr>
              <w:t>Druhá</w:t>
            </w:r>
          </w:p>
        </w:tc>
        <w:tc>
          <w:tcPr>
            <w:tcW w:w="3071" w:type="dxa"/>
          </w:tcPr>
          <w:p w:rsidR="000E07A4" w:rsidRPr="00280983" w:rsidRDefault="000E07A4" w:rsidP="0029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7A4" w:rsidRPr="00280983" w:rsidRDefault="00294AC1" w:rsidP="0029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3071" w:type="dxa"/>
          </w:tcPr>
          <w:p w:rsidR="000E07A4" w:rsidRPr="00280983" w:rsidRDefault="000E07A4" w:rsidP="0029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7A4" w:rsidRPr="00280983" w:rsidRDefault="00294AC1" w:rsidP="0029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</w:tr>
    </w:tbl>
    <w:p w:rsidR="00280983" w:rsidRPr="00280983" w:rsidRDefault="00280983" w:rsidP="000E07A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07A4" w:rsidRPr="00280983" w:rsidRDefault="00F41A3A" w:rsidP="000E07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Senici, 18</w:t>
      </w:r>
      <w:r w:rsidR="00C563F1">
        <w:rPr>
          <w:rFonts w:ascii="Times New Roman" w:hAnsi="Times New Roman" w:cs="Times New Roman"/>
          <w:sz w:val="24"/>
          <w:szCs w:val="24"/>
        </w:rPr>
        <w:t>.11</w:t>
      </w:r>
      <w:r w:rsidR="00E32256">
        <w:rPr>
          <w:rFonts w:ascii="Times New Roman" w:hAnsi="Times New Roman" w:cs="Times New Roman"/>
          <w:sz w:val="24"/>
          <w:szCs w:val="24"/>
        </w:rPr>
        <w:t>.2024</w:t>
      </w:r>
    </w:p>
    <w:p w:rsidR="00647E4D" w:rsidRPr="00280983" w:rsidRDefault="000E07A4" w:rsidP="000E07A4">
      <w:pPr>
        <w:rPr>
          <w:rFonts w:ascii="Times New Roman" w:hAnsi="Times New Roman" w:cs="Times New Roman"/>
          <w:sz w:val="24"/>
          <w:szCs w:val="24"/>
        </w:rPr>
      </w:pPr>
      <w:r w:rsidRPr="00280983">
        <w:rPr>
          <w:rFonts w:ascii="Times New Roman" w:hAnsi="Times New Roman" w:cs="Times New Roman"/>
          <w:sz w:val="24"/>
          <w:szCs w:val="24"/>
        </w:rPr>
        <w:t>Vypracovala: Renáta Rýzková</w:t>
      </w:r>
      <w:r w:rsidR="00294AC1">
        <w:rPr>
          <w:rFonts w:ascii="Times New Roman" w:hAnsi="Times New Roman" w:cs="Times New Roman"/>
          <w:sz w:val="24"/>
          <w:szCs w:val="24"/>
        </w:rPr>
        <w:t>, riaditeľka MŠ</w:t>
      </w:r>
    </w:p>
    <w:p w:rsidR="00F41A3A" w:rsidRDefault="00F41A3A">
      <w:pPr>
        <w:rPr>
          <w:rFonts w:ascii="Times New Roman" w:hAnsi="Times New Roman" w:cs="Times New Roman"/>
          <w:sz w:val="24"/>
          <w:szCs w:val="24"/>
        </w:rPr>
      </w:pPr>
    </w:p>
    <w:p w:rsidR="00280983" w:rsidRDefault="000E07A4">
      <w:pPr>
        <w:rPr>
          <w:rFonts w:ascii="Times New Roman" w:hAnsi="Times New Roman" w:cs="Times New Roman"/>
          <w:sz w:val="24"/>
          <w:szCs w:val="24"/>
        </w:rPr>
      </w:pPr>
      <w:r w:rsidRPr="00280983">
        <w:rPr>
          <w:rFonts w:ascii="Times New Roman" w:hAnsi="Times New Roman" w:cs="Times New Roman"/>
          <w:sz w:val="24"/>
          <w:szCs w:val="24"/>
        </w:rPr>
        <w:t>Prerokovaný a od</w:t>
      </w:r>
      <w:r w:rsidR="006A7542">
        <w:rPr>
          <w:rFonts w:ascii="Times New Roman" w:hAnsi="Times New Roman" w:cs="Times New Roman"/>
          <w:sz w:val="24"/>
          <w:szCs w:val="24"/>
        </w:rPr>
        <w:t xml:space="preserve">súhlasený pedagogickou radou: </w:t>
      </w:r>
      <w:r w:rsidR="00C563F1">
        <w:rPr>
          <w:rFonts w:ascii="Times New Roman" w:hAnsi="Times New Roman" w:cs="Times New Roman"/>
          <w:sz w:val="24"/>
          <w:szCs w:val="24"/>
        </w:rPr>
        <w:t>19.11.2024</w:t>
      </w:r>
    </w:p>
    <w:p w:rsidR="00F41A3A" w:rsidRDefault="00F41A3A">
      <w:pPr>
        <w:rPr>
          <w:rFonts w:ascii="Times New Roman" w:hAnsi="Times New Roman" w:cs="Times New Roman"/>
          <w:sz w:val="24"/>
          <w:szCs w:val="24"/>
        </w:rPr>
      </w:pPr>
    </w:p>
    <w:p w:rsidR="000E07A4" w:rsidRPr="00280983" w:rsidRDefault="002809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Vyjadrenie zriaďovateľa: </w:t>
      </w:r>
    </w:p>
    <w:p w:rsidR="000E07A4" w:rsidRDefault="000E07A4"/>
    <w:sectPr w:rsidR="000E07A4" w:rsidSect="00F41A3A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4CDD" w:rsidRDefault="00684CDD" w:rsidP="000E07A4">
      <w:pPr>
        <w:spacing w:after="0" w:line="240" w:lineRule="auto"/>
      </w:pPr>
      <w:r>
        <w:separator/>
      </w:r>
    </w:p>
  </w:endnote>
  <w:endnote w:type="continuationSeparator" w:id="1">
    <w:p w:rsidR="00684CDD" w:rsidRDefault="00684CDD" w:rsidP="000E0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4CDD" w:rsidRDefault="00684CDD" w:rsidP="000E07A4">
      <w:pPr>
        <w:spacing w:after="0" w:line="240" w:lineRule="auto"/>
      </w:pPr>
      <w:r>
        <w:separator/>
      </w:r>
    </w:p>
  </w:footnote>
  <w:footnote w:type="continuationSeparator" w:id="1">
    <w:p w:rsidR="00684CDD" w:rsidRDefault="00684CDD" w:rsidP="000E07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370811"/>
    <w:multiLevelType w:val="hybridMultilevel"/>
    <w:tmpl w:val="A432BD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07A4"/>
    <w:rsid w:val="00030EF9"/>
    <w:rsid w:val="000457F7"/>
    <w:rsid w:val="000662D0"/>
    <w:rsid w:val="000D1705"/>
    <w:rsid w:val="000E07A4"/>
    <w:rsid w:val="001002D6"/>
    <w:rsid w:val="00116275"/>
    <w:rsid w:val="001414F5"/>
    <w:rsid w:val="001A7559"/>
    <w:rsid w:val="001C0326"/>
    <w:rsid w:val="001E4797"/>
    <w:rsid w:val="001F7AC5"/>
    <w:rsid w:val="00200483"/>
    <w:rsid w:val="00227D81"/>
    <w:rsid w:val="002469BA"/>
    <w:rsid w:val="00280983"/>
    <w:rsid w:val="00294AC1"/>
    <w:rsid w:val="002C65FF"/>
    <w:rsid w:val="002F2AB5"/>
    <w:rsid w:val="0034647D"/>
    <w:rsid w:val="003F0E12"/>
    <w:rsid w:val="003F5D82"/>
    <w:rsid w:val="00412DEB"/>
    <w:rsid w:val="004659A1"/>
    <w:rsid w:val="004C5830"/>
    <w:rsid w:val="004D0AD3"/>
    <w:rsid w:val="00507818"/>
    <w:rsid w:val="005411D5"/>
    <w:rsid w:val="00567E0C"/>
    <w:rsid w:val="005D6199"/>
    <w:rsid w:val="005E53D7"/>
    <w:rsid w:val="005F2FC9"/>
    <w:rsid w:val="00611349"/>
    <w:rsid w:val="0064606C"/>
    <w:rsid w:val="00647E4D"/>
    <w:rsid w:val="00662593"/>
    <w:rsid w:val="00684CDD"/>
    <w:rsid w:val="006A7542"/>
    <w:rsid w:val="006B22FE"/>
    <w:rsid w:val="00723895"/>
    <w:rsid w:val="00724624"/>
    <w:rsid w:val="00737569"/>
    <w:rsid w:val="007A3C63"/>
    <w:rsid w:val="007F372B"/>
    <w:rsid w:val="008766F9"/>
    <w:rsid w:val="008A1901"/>
    <w:rsid w:val="008A1918"/>
    <w:rsid w:val="008D3883"/>
    <w:rsid w:val="0091709C"/>
    <w:rsid w:val="00967028"/>
    <w:rsid w:val="0099127A"/>
    <w:rsid w:val="009B0757"/>
    <w:rsid w:val="00A008C6"/>
    <w:rsid w:val="00A65E3A"/>
    <w:rsid w:val="00A83A6E"/>
    <w:rsid w:val="00AB4775"/>
    <w:rsid w:val="00B66CE5"/>
    <w:rsid w:val="00B72A02"/>
    <w:rsid w:val="00B84809"/>
    <w:rsid w:val="00BA3518"/>
    <w:rsid w:val="00BA6DB8"/>
    <w:rsid w:val="00BD3B6B"/>
    <w:rsid w:val="00BE337B"/>
    <w:rsid w:val="00BF1BB6"/>
    <w:rsid w:val="00BF4BA4"/>
    <w:rsid w:val="00C25FF4"/>
    <w:rsid w:val="00C563F1"/>
    <w:rsid w:val="00C66FD6"/>
    <w:rsid w:val="00CA18FC"/>
    <w:rsid w:val="00D117A6"/>
    <w:rsid w:val="00D75133"/>
    <w:rsid w:val="00DA13EF"/>
    <w:rsid w:val="00DA6E00"/>
    <w:rsid w:val="00DB12D3"/>
    <w:rsid w:val="00DB12E2"/>
    <w:rsid w:val="00DC77DC"/>
    <w:rsid w:val="00DD011B"/>
    <w:rsid w:val="00E024DB"/>
    <w:rsid w:val="00E32256"/>
    <w:rsid w:val="00E9215E"/>
    <w:rsid w:val="00EF586C"/>
    <w:rsid w:val="00F0535A"/>
    <w:rsid w:val="00F222E9"/>
    <w:rsid w:val="00F34869"/>
    <w:rsid w:val="00F400AD"/>
    <w:rsid w:val="00F41A3A"/>
    <w:rsid w:val="00F41C5C"/>
    <w:rsid w:val="00F529A1"/>
    <w:rsid w:val="00F54CBE"/>
    <w:rsid w:val="00FA0026"/>
    <w:rsid w:val="00FD3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E07A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0E07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0E07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semiHidden/>
    <w:unhideWhenUsed/>
    <w:rsid w:val="000E07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0E07A4"/>
  </w:style>
  <w:style w:type="paragraph" w:styleId="Pta">
    <w:name w:val="footer"/>
    <w:basedOn w:val="Normlny"/>
    <w:link w:val="PtaChar"/>
    <w:uiPriority w:val="99"/>
    <w:semiHidden/>
    <w:unhideWhenUsed/>
    <w:rsid w:val="000E07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0E07A4"/>
  </w:style>
  <w:style w:type="paragraph" w:styleId="Bezriadkovania">
    <w:name w:val="No Spacing"/>
    <w:uiPriority w:val="1"/>
    <w:qFormat/>
    <w:rsid w:val="000E07A4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semiHidden/>
    <w:unhideWhenUsed/>
    <w:rsid w:val="00F41A3A"/>
    <w:rPr>
      <w:color w:val="0000FF"/>
      <w:u w:val="single"/>
    </w:rPr>
  </w:style>
  <w:style w:type="character" w:styleId="Zvraznenie">
    <w:name w:val="Emphasis"/>
    <w:basedOn w:val="Predvolenpsmoodseku"/>
    <w:uiPriority w:val="20"/>
    <w:qFormat/>
    <w:rsid w:val="00F41A3A"/>
    <w:rPr>
      <w:i/>
      <w:iCs/>
    </w:rPr>
  </w:style>
  <w:style w:type="character" w:styleId="Siln">
    <w:name w:val="Strong"/>
    <w:basedOn w:val="Predvolenpsmoodseku"/>
    <w:uiPriority w:val="22"/>
    <w:qFormat/>
    <w:rsid w:val="00F41A3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irektor.sk/sk/predpisy/predpis-138-2019-z-z.p-373.html?show=p&amp;paragraf=10&amp;aspi_date=11.06.20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3</Pages>
  <Words>1065</Words>
  <Characters>6073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47</cp:revision>
  <cp:lastPrinted>2025-04-04T08:03:00Z</cp:lastPrinted>
  <dcterms:created xsi:type="dcterms:W3CDTF">2022-11-22T07:11:00Z</dcterms:created>
  <dcterms:modified xsi:type="dcterms:W3CDTF">2025-04-04T08:03:00Z</dcterms:modified>
</cp:coreProperties>
</file>