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3A" w:rsidRPr="00B17319" w:rsidRDefault="00F06A3A" w:rsidP="00F06A3A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F06A3A" w:rsidRDefault="00F06A3A" w:rsidP="00F06A3A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F06A3A" w:rsidRDefault="00F06A3A" w:rsidP="00F06A3A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F06A3A" w:rsidRPr="00B17319" w:rsidRDefault="00F06A3A" w:rsidP="00F06A3A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F06A3A" w:rsidRPr="00B17319" w:rsidRDefault="00F06A3A" w:rsidP="00F06A3A">
      <w:pPr>
        <w:spacing w:line="264" w:lineRule="auto"/>
        <w:jc w:val="both"/>
        <w:rPr>
          <w:rFonts w:ascii="Times New Roman" w:hAnsi="Times New Roman"/>
        </w:rPr>
      </w:pPr>
    </w:p>
    <w:p w:rsidR="00F06A3A" w:rsidRPr="00B17319" w:rsidRDefault="00F06A3A" w:rsidP="00F06A3A">
      <w:pPr>
        <w:spacing w:line="264" w:lineRule="auto"/>
        <w:jc w:val="center"/>
        <w:rPr>
          <w:rFonts w:ascii="Times New Roman" w:hAnsi="Times New Roman"/>
          <w:b/>
        </w:rPr>
      </w:pPr>
    </w:p>
    <w:p w:rsidR="00F06A3A" w:rsidRPr="00B17319" w:rsidRDefault="00F06A3A" w:rsidP="00F06A3A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4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06A3A" w:rsidRPr="00B17319" w:rsidRDefault="00F06A3A" w:rsidP="00F06A3A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4" w:lineRule="auto"/>
        <w:jc w:val="center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VNÚTORNÁ SMERNICA</w:t>
      </w:r>
    </w:p>
    <w:p w:rsidR="00F06A3A" w:rsidRPr="00B17319" w:rsidRDefault="00F06A3A" w:rsidP="00F06A3A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4" w:lineRule="auto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Príplatok za profesijný rozvoj</w:t>
      </w:r>
    </w:p>
    <w:p w:rsidR="00F06A3A" w:rsidRPr="00B17319" w:rsidRDefault="00F06A3A" w:rsidP="00F06A3A">
      <w:pPr>
        <w:spacing w:line="264" w:lineRule="auto"/>
        <w:jc w:val="both"/>
        <w:rPr>
          <w:rFonts w:ascii="Times New Roman" w:hAnsi="Times New Roman"/>
        </w:rPr>
      </w:pPr>
    </w:p>
    <w:p w:rsidR="00F06A3A" w:rsidRPr="00B17319" w:rsidRDefault="00F06A3A" w:rsidP="00F06A3A">
      <w:pPr>
        <w:spacing w:line="264" w:lineRule="auto"/>
        <w:jc w:val="both"/>
        <w:rPr>
          <w:rFonts w:ascii="Times New Roman" w:hAnsi="Times New Roman"/>
        </w:rPr>
      </w:pPr>
    </w:p>
    <w:p w:rsidR="00F06A3A" w:rsidRPr="00B17319" w:rsidRDefault="00F06A3A" w:rsidP="00F06A3A">
      <w:pPr>
        <w:spacing w:line="264" w:lineRule="auto"/>
        <w:jc w:val="both"/>
        <w:rPr>
          <w:rFonts w:ascii="Times New Roman" w:hAnsi="Times New Roman"/>
        </w:rPr>
      </w:pPr>
    </w:p>
    <w:p w:rsidR="00F06A3A" w:rsidRPr="00B17319" w:rsidRDefault="00F06A3A" w:rsidP="00F06A3A">
      <w:pPr>
        <w:spacing w:after="0" w:line="264" w:lineRule="auto"/>
        <w:jc w:val="both"/>
        <w:rPr>
          <w:rFonts w:ascii="Times New Roman" w:hAnsi="Times New Roman"/>
        </w:rPr>
      </w:pPr>
    </w:p>
    <w:p w:rsidR="00F06A3A" w:rsidRPr="00B17319" w:rsidRDefault="00F06A3A" w:rsidP="00F06A3A">
      <w:pPr>
        <w:spacing w:after="0" w:line="264" w:lineRule="auto"/>
        <w:jc w:val="center"/>
        <w:rPr>
          <w:rFonts w:ascii="Times New Roman" w:hAnsi="Times New Roman"/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38"/>
      </w:tblGrid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 w:rsidRPr="00B17319">
              <w:rPr>
                <w:rFonts w:ascii="Times New Roman" w:hAnsi="Times New Roman"/>
                <w:bCs/>
                <w:i/>
              </w:rPr>
              <w:t>Organizácia</w:t>
            </w:r>
          </w:p>
        </w:tc>
        <w:tc>
          <w:tcPr>
            <w:tcW w:w="6238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 w:rsidRPr="00B17319">
              <w:rPr>
                <w:rFonts w:ascii="Times New Roman" w:hAnsi="Times New Roman"/>
                <w:b/>
              </w:rPr>
              <w:t>Materská škola, L. Novomeského 1209/2, Senica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 w:rsidRPr="00B17319">
              <w:rPr>
                <w:rFonts w:ascii="Times New Roman" w:hAnsi="Times New Roman"/>
                <w:bCs/>
                <w:i/>
              </w:rPr>
              <w:t>Identifikačné číslo organizácie (IČO)</w:t>
            </w:r>
          </w:p>
        </w:tc>
        <w:tc>
          <w:tcPr>
            <w:tcW w:w="6238" w:type="dxa"/>
            <w:vAlign w:val="center"/>
          </w:tcPr>
          <w:p w:rsidR="00F06A3A" w:rsidRPr="00B17319" w:rsidRDefault="00F06A3A" w:rsidP="000A04C5">
            <w:pPr>
              <w:spacing w:after="0" w:line="264" w:lineRule="auto"/>
              <w:rPr>
                <w:rFonts w:ascii="Times New Roman" w:hAnsi="Times New Roman"/>
                <w:b/>
              </w:rPr>
            </w:pPr>
            <w:r w:rsidRPr="00B17319">
              <w:rPr>
                <w:rFonts w:ascii="Times New Roman" w:hAnsi="Times New Roman"/>
                <w:b/>
              </w:rPr>
              <w:t>37840550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 w:rsidRPr="00B17319">
              <w:rPr>
                <w:rFonts w:ascii="Times New Roman" w:hAnsi="Times New Roman"/>
                <w:bCs/>
                <w:i/>
              </w:rPr>
              <w:t xml:space="preserve">Obec a PSČ   </w:t>
            </w:r>
          </w:p>
        </w:tc>
        <w:tc>
          <w:tcPr>
            <w:tcW w:w="6238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 w:rsidRPr="00B17319">
              <w:rPr>
                <w:rFonts w:ascii="Times New Roman" w:hAnsi="Times New Roman"/>
                <w:b/>
              </w:rPr>
              <w:t>905 01 Senica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 w:rsidRPr="00B17319">
              <w:rPr>
                <w:rFonts w:ascii="Times New Roman" w:hAnsi="Times New Roman"/>
                <w:bCs/>
                <w:i/>
              </w:rPr>
              <w:t>Ulica a číslo</w:t>
            </w:r>
          </w:p>
        </w:tc>
        <w:tc>
          <w:tcPr>
            <w:tcW w:w="6238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 w:rsidRPr="00B17319">
              <w:rPr>
                <w:rFonts w:ascii="Times New Roman" w:hAnsi="Times New Roman"/>
                <w:b/>
              </w:rPr>
              <w:t>L. Novomeského 1209/2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 w:rsidRPr="00B17319">
              <w:rPr>
                <w:rFonts w:ascii="Times New Roman" w:hAnsi="Times New Roman"/>
                <w:bCs/>
                <w:i/>
              </w:rPr>
              <w:t xml:space="preserve">Štát </w:t>
            </w:r>
          </w:p>
        </w:tc>
        <w:tc>
          <w:tcPr>
            <w:tcW w:w="6238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 w:rsidRPr="00B17319">
              <w:rPr>
                <w:rFonts w:ascii="Times New Roman" w:hAnsi="Times New Roman"/>
                <w:b/>
              </w:rPr>
              <w:t>Slovenská republika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 w:rsidRPr="00B17319">
              <w:rPr>
                <w:rFonts w:ascii="Times New Roman" w:hAnsi="Times New Roman"/>
                <w:bCs/>
                <w:i/>
              </w:rPr>
              <w:t xml:space="preserve">Právna forma  </w:t>
            </w:r>
          </w:p>
        </w:tc>
        <w:tc>
          <w:tcPr>
            <w:tcW w:w="6238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 w:rsidRPr="00B17319">
              <w:rPr>
                <w:rFonts w:ascii="Times New Roman" w:hAnsi="Times New Roman"/>
                <w:b/>
              </w:rPr>
              <w:t>rozpočtová organizácia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 w:rsidRPr="00B17319">
              <w:rPr>
                <w:rFonts w:ascii="Times New Roman" w:hAnsi="Times New Roman"/>
                <w:bCs/>
                <w:i/>
              </w:rPr>
              <w:t xml:space="preserve">Štatutárny orgán </w:t>
            </w:r>
          </w:p>
        </w:tc>
        <w:tc>
          <w:tcPr>
            <w:tcW w:w="6238" w:type="dxa"/>
            <w:vAlign w:val="center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 w:rsidRPr="00B17319">
              <w:rPr>
                <w:rFonts w:ascii="Times New Roman" w:hAnsi="Times New Roman"/>
                <w:b/>
              </w:rPr>
              <w:t>Mgr. Marta Haslová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Dátum vyhotovenia</w:t>
            </w:r>
          </w:p>
        </w:tc>
        <w:tc>
          <w:tcPr>
            <w:tcW w:w="6238" w:type="dxa"/>
            <w:vAlign w:val="center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20.2.2026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Účinnosť</w:t>
            </w:r>
          </w:p>
        </w:tc>
        <w:tc>
          <w:tcPr>
            <w:tcW w:w="6238" w:type="dxa"/>
            <w:vAlign w:val="center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1.3.2026</w:t>
            </w:r>
          </w:p>
        </w:tc>
      </w:tr>
      <w:tr w:rsidR="00F06A3A" w:rsidRPr="00B17319" w:rsidTr="000A04C5">
        <w:trPr>
          <w:trHeight w:val="20"/>
        </w:trPr>
        <w:tc>
          <w:tcPr>
            <w:tcW w:w="3402" w:type="dxa"/>
          </w:tcPr>
          <w:p w:rsidR="00F06A3A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Ruší sa smernica</w:t>
            </w:r>
          </w:p>
        </w:tc>
        <w:tc>
          <w:tcPr>
            <w:tcW w:w="6238" w:type="dxa"/>
            <w:vAlign w:val="center"/>
          </w:tcPr>
          <w:p w:rsidR="00F06A3A" w:rsidRPr="00B17319" w:rsidRDefault="00F06A3A" w:rsidP="000A04C5">
            <w:pPr>
              <w:spacing w:after="0" w:line="264" w:lineRule="auto"/>
              <w:ind w:left="-250" w:firstLine="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 1.9.2023</w:t>
            </w:r>
          </w:p>
        </w:tc>
      </w:tr>
    </w:tbl>
    <w:p w:rsidR="00F06A3A" w:rsidRPr="00B17319" w:rsidRDefault="00F06A3A" w:rsidP="00F06A3A">
      <w:pPr>
        <w:spacing w:after="0" w:line="264" w:lineRule="auto"/>
        <w:jc w:val="center"/>
        <w:rPr>
          <w:rFonts w:ascii="Times New Roman" w:hAnsi="Times New Roman"/>
          <w:b/>
        </w:rPr>
      </w:pPr>
    </w:p>
    <w:p w:rsidR="00F06A3A" w:rsidRPr="00B17319" w:rsidRDefault="00F06A3A" w:rsidP="00F06A3A">
      <w:pPr>
        <w:spacing w:after="0" w:line="264" w:lineRule="auto"/>
        <w:jc w:val="both"/>
        <w:rPr>
          <w:rFonts w:ascii="Times New Roman" w:hAnsi="Times New Roman"/>
          <w:b/>
        </w:rPr>
      </w:pPr>
    </w:p>
    <w:p w:rsidR="00F06A3A" w:rsidRPr="00B17319" w:rsidRDefault="00F06A3A" w:rsidP="00F06A3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color w:val="000000"/>
        </w:rPr>
      </w:pPr>
    </w:p>
    <w:p w:rsidR="00F06A3A" w:rsidRPr="00B17319" w:rsidRDefault="00F06A3A" w:rsidP="00F06A3A">
      <w:pPr>
        <w:pStyle w:val="Hlavika"/>
        <w:tabs>
          <w:tab w:val="clear" w:pos="4536"/>
          <w:tab w:val="clear" w:pos="9072"/>
        </w:tabs>
        <w:spacing w:line="264" w:lineRule="auto"/>
        <w:rPr>
          <w:rFonts w:ascii="Times New Roman" w:hAnsi="Times New Roman"/>
          <w:sz w:val="22"/>
          <w:szCs w:val="22"/>
        </w:rPr>
      </w:pPr>
    </w:p>
    <w:p w:rsidR="004E42C8" w:rsidRPr="00F06A3A" w:rsidRDefault="00F06A3A" w:rsidP="009F756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6A3A">
        <w:rPr>
          <w:rFonts w:ascii="Times New Roman" w:hAnsi="Times New Roman"/>
          <w:b/>
          <w:bCs/>
        </w:rPr>
        <w:t>Článok I.</w:t>
      </w:r>
    </w:p>
    <w:p w:rsidR="00F06A3A" w:rsidRDefault="00F06A3A" w:rsidP="0034062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6A3A">
        <w:rPr>
          <w:rFonts w:ascii="Times New Roman" w:hAnsi="Times New Roman"/>
          <w:b/>
          <w:bCs/>
        </w:rPr>
        <w:t>Základné ustanovenia</w:t>
      </w:r>
    </w:p>
    <w:p w:rsidR="00340622" w:rsidRDefault="00340622" w:rsidP="0034062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6A3A" w:rsidRPr="00F06A3A" w:rsidRDefault="00F06A3A" w:rsidP="00040E9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0A0A0A"/>
          <w:lang w:eastAsia="sk-SK"/>
        </w:rPr>
      </w:pPr>
      <w:r w:rsidRPr="00F06A3A">
        <w:rPr>
          <w:rFonts w:ascii="Times New Roman" w:eastAsia="Times New Roman" w:hAnsi="Times New Roman"/>
          <w:color w:val="0A0A0A"/>
          <w:lang w:eastAsia="sk-SK"/>
        </w:rPr>
        <w:t>Táto smernica upravuje podmienky a postup pri priznávaní, poskytovaní a ukončení vyplácania príplatku za profesijný rozvoj pedagogickým a odborným zamestnancom (ďalej len "zamestnanec").</w:t>
      </w:r>
    </w:p>
    <w:p w:rsidR="00F06A3A" w:rsidRPr="00F06A3A" w:rsidRDefault="00F06A3A" w:rsidP="00040E98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lang w:eastAsia="sk-SK"/>
        </w:rPr>
      </w:pPr>
      <w:r w:rsidRPr="00F06A3A">
        <w:rPr>
          <w:rFonts w:ascii="Times New Roman" w:eastAsia="Times New Roman" w:hAnsi="Times New Roman"/>
          <w:color w:val="0A0A0A"/>
          <w:lang w:eastAsia="sk-SK"/>
        </w:rPr>
        <w:t>Smernica je vypracovaná v súlade so zákonom č. 138/2019 Z. z. a zákonom č. 553/2003 Z. z.. </w:t>
      </w:r>
    </w:p>
    <w:p w:rsidR="00F06A3A" w:rsidRDefault="00F06A3A" w:rsidP="00F06A3A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0A0A0A"/>
          <w:lang w:eastAsia="sk-SK"/>
        </w:rPr>
      </w:pPr>
    </w:p>
    <w:p w:rsidR="00F06A3A" w:rsidRPr="00F06A3A" w:rsidRDefault="00F06A3A" w:rsidP="009F756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A0A0A"/>
          <w:lang w:eastAsia="sk-SK"/>
        </w:rPr>
      </w:pPr>
      <w:r w:rsidRPr="00F06A3A">
        <w:rPr>
          <w:rFonts w:ascii="Times New Roman" w:eastAsia="Times New Roman" w:hAnsi="Times New Roman"/>
          <w:b/>
          <w:bCs/>
          <w:color w:val="0A0A0A"/>
          <w:lang w:eastAsia="sk-SK"/>
        </w:rPr>
        <w:t>Článok II.</w:t>
      </w:r>
    </w:p>
    <w:p w:rsidR="00F06A3A" w:rsidRDefault="00F06A3A" w:rsidP="009F756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A0A0A"/>
          <w:lang w:eastAsia="sk-SK"/>
        </w:rPr>
      </w:pPr>
      <w:r w:rsidRPr="00F06A3A">
        <w:rPr>
          <w:rFonts w:ascii="Times New Roman" w:eastAsia="Times New Roman" w:hAnsi="Times New Roman"/>
          <w:b/>
          <w:bCs/>
          <w:color w:val="0A0A0A"/>
          <w:lang w:eastAsia="sk-SK"/>
        </w:rPr>
        <w:t>Kategórie pedagogických a odborných zamestnancov</w:t>
      </w:r>
    </w:p>
    <w:p w:rsidR="00340622" w:rsidRDefault="00340622" w:rsidP="009F756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A0A0A"/>
          <w:lang w:eastAsia="sk-SK"/>
        </w:rPr>
      </w:pPr>
    </w:p>
    <w:p w:rsidR="006107D2" w:rsidRPr="006107D2" w:rsidRDefault="00387485" w:rsidP="00040E98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2"/>
        </w:rPr>
      </w:pPr>
      <w:hyperlink r:id="rId7" w:tgtFrame="_blank" w:tooltip="Pedagogický zamestnanec vykonáva pracovnú činnosť v kategórii a) učiteľ, b) majster odbornej výchovy, c) vychovávateľ, d) korepetítor, e) školský tréner, f) pedagogický asistent, g) zahraničný lektor, h) školský špeciálny pedagóg, i) školský digitálny koordiná" w:history="1">
        <w:r w:rsidR="006107D2" w:rsidRPr="006E53E8">
          <w:rPr>
            <w:rStyle w:val="Hypertextovprepojenie"/>
            <w:rFonts w:eastAsiaTheme="majorEastAsia"/>
            <w:color w:val="000000" w:themeColor="text1"/>
            <w:sz w:val="22"/>
            <w:szCs w:val="22"/>
          </w:rPr>
          <w:t>Podľa § 19 zákona č. 138/2019 Z. z.</w:t>
        </w:r>
      </w:hyperlink>
      <w:r w:rsidR="006107D2" w:rsidRPr="006E53E8">
        <w:rPr>
          <w:color w:val="000000"/>
          <w:sz w:val="20"/>
          <w:szCs w:val="20"/>
        </w:rPr>
        <w:t> </w:t>
      </w:r>
      <w:r w:rsidR="006107D2" w:rsidRPr="006107D2">
        <w:rPr>
          <w:color w:val="000000"/>
          <w:sz w:val="22"/>
          <w:szCs w:val="22"/>
        </w:rPr>
        <w:t>pedago</w:t>
      </w:r>
      <w:r w:rsidR="00A70461">
        <w:rPr>
          <w:color w:val="000000"/>
          <w:sz w:val="22"/>
          <w:szCs w:val="22"/>
        </w:rPr>
        <w:t>g</w:t>
      </w:r>
      <w:r w:rsidR="006107D2" w:rsidRPr="006107D2">
        <w:rPr>
          <w:color w:val="000000"/>
          <w:sz w:val="22"/>
          <w:szCs w:val="22"/>
        </w:rPr>
        <w:t>ický zamestnanec vykonáva pracovnú činnosť v kategórii: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a) učiteľ</w:t>
      </w:r>
      <w:r w:rsidR="00040E98" w:rsidRPr="00A70461">
        <w:rPr>
          <w:rFonts w:ascii="Times New Roman" w:hAnsi="Times New Roman"/>
          <w:color w:val="000000" w:themeColor="text1"/>
        </w:rPr>
        <w:t>,</w:t>
      </w:r>
    </w:p>
    <w:p w:rsidR="00040E98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lastRenderedPageBreak/>
        <w:t>b) majster odbornej výchovy,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c) vychovávateľ,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d) korepetítor,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e) školský tréner,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f) pedagogický asistent,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g) zahraničný lektor,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h) školský špeciálny pedagóg,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i) školský digitálny koordinátor,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j) učiteľ profesijného rozvoja.</w:t>
      </w:r>
    </w:p>
    <w:p w:rsidR="00040E98" w:rsidRPr="006107D2" w:rsidRDefault="00040E98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95959"/>
        </w:rPr>
      </w:pPr>
    </w:p>
    <w:p w:rsidR="006107D2" w:rsidRPr="006107D2" w:rsidRDefault="006107D2" w:rsidP="003E3FB2">
      <w:pPr>
        <w:pStyle w:val="Normlnywebov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2.  </w:t>
      </w:r>
      <w:hyperlink r:id="rId8" w:tgtFrame="_blank" w:tooltip="Odborný zamestnanec vykonáva pracovnú činnosť v kategórii a) psychológ a školský psychológ, b) špeciálny pedagóg a terénny špeciálny pedagóg, c) kariérový poradca, d) logopéd a školský logopéd, e) liečebný pedagóg, f) sociálny pedagóg, g) sociálny pracovník." w:history="1">
        <w:r w:rsidRPr="00A70461">
          <w:rPr>
            <w:rStyle w:val="Hypertextovprepojenie"/>
            <w:rFonts w:eastAsiaTheme="majorEastAsia"/>
            <w:color w:val="000000" w:themeColor="text1"/>
            <w:sz w:val="22"/>
            <w:szCs w:val="22"/>
          </w:rPr>
          <w:t>Podľa § 23 zákona č. 138/2019 Z. z.</w:t>
        </w:r>
      </w:hyperlink>
      <w:r w:rsidRPr="006107D2">
        <w:rPr>
          <w:color w:val="000000"/>
          <w:sz w:val="22"/>
          <w:szCs w:val="22"/>
        </w:rPr>
        <w:t> odborný zamestnanec vykonáva pracovnú činnosť v kategórii: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a) psychológ a školský psychológ,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b) špeciálny pedagóg a terénny špeciálny pedagóg,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 xml:space="preserve">c) </w:t>
      </w:r>
      <w:proofErr w:type="spellStart"/>
      <w:r w:rsidRPr="00A70461">
        <w:rPr>
          <w:rFonts w:ascii="Times New Roman" w:hAnsi="Times New Roman"/>
          <w:color w:val="000000" w:themeColor="text1"/>
        </w:rPr>
        <w:t>kariérový</w:t>
      </w:r>
      <w:proofErr w:type="spellEnd"/>
      <w:r w:rsidRPr="00A70461">
        <w:rPr>
          <w:rFonts w:ascii="Times New Roman" w:hAnsi="Times New Roman"/>
          <w:color w:val="000000" w:themeColor="text1"/>
        </w:rPr>
        <w:t xml:space="preserve"> poradca,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d) logopéd a školský logopéd,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e) liečebný pedagóg,</w:t>
      </w:r>
    </w:p>
    <w:p w:rsidR="006107D2" w:rsidRPr="00A70461" w:rsidRDefault="006107D2" w:rsidP="003E3F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0461">
        <w:rPr>
          <w:rFonts w:ascii="Times New Roman" w:hAnsi="Times New Roman"/>
          <w:color w:val="000000" w:themeColor="text1"/>
        </w:rPr>
        <w:t>f) sociálny pedagóg.</w:t>
      </w:r>
    </w:p>
    <w:p w:rsidR="006107D2" w:rsidRDefault="006107D2" w:rsidP="00040E98">
      <w:pPr>
        <w:shd w:val="clear" w:color="auto" w:fill="FFFFFF"/>
        <w:spacing w:line="240" w:lineRule="auto"/>
        <w:ind w:left="720"/>
        <w:jc w:val="both"/>
        <w:rPr>
          <w:rFonts w:ascii="Times New Roman" w:hAnsi="Times New Roman"/>
          <w:color w:val="595959"/>
        </w:rPr>
      </w:pPr>
    </w:p>
    <w:p w:rsidR="006107D2" w:rsidRPr="00A70461" w:rsidRDefault="006107D2" w:rsidP="009F756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  <w:r w:rsidRPr="00A70461">
        <w:rPr>
          <w:rFonts w:ascii="Times New Roman" w:hAnsi="Times New Roman"/>
          <w:b/>
          <w:bCs/>
          <w:color w:val="000000" w:themeColor="text1"/>
        </w:rPr>
        <w:t>Článok III.</w:t>
      </w:r>
    </w:p>
    <w:p w:rsidR="006107D2" w:rsidRPr="00A70461" w:rsidRDefault="006107D2" w:rsidP="009F756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  <w:r w:rsidRPr="00A70461">
        <w:rPr>
          <w:rFonts w:ascii="Times New Roman" w:hAnsi="Times New Roman"/>
          <w:b/>
          <w:bCs/>
          <w:color w:val="000000" w:themeColor="text1"/>
        </w:rPr>
        <w:t>Profesijný rozvoj</w:t>
      </w:r>
    </w:p>
    <w:p w:rsidR="00340622" w:rsidRDefault="00340622" w:rsidP="009F756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595959"/>
        </w:rPr>
      </w:pPr>
    </w:p>
    <w:p w:rsidR="001E44B8" w:rsidRPr="006E53E8" w:rsidRDefault="001E44B8" w:rsidP="00040E98">
      <w:pPr>
        <w:pStyle w:val="Normlnywebov"/>
        <w:shd w:val="clear" w:color="auto" w:fill="FFFFFF"/>
        <w:spacing w:before="0" w:beforeAutospacing="0" w:after="480" w:afterAutospacing="0"/>
        <w:rPr>
          <w:color w:val="000000" w:themeColor="text1"/>
          <w:sz w:val="22"/>
          <w:szCs w:val="22"/>
        </w:rPr>
      </w:pPr>
      <w:r w:rsidRPr="006E53E8">
        <w:rPr>
          <w:color w:val="000000" w:themeColor="text1"/>
          <w:sz w:val="22"/>
          <w:szCs w:val="22"/>
        </w:rPr>
        <w:t xml:space="preserve">Profesijný rozvoj je proces rozvíjania, prehlbovania, zdokonaľovania a rozširovania profesijných kompetencií, získavania profesijných kompetencií na výkon špecializovaných činností alebo na výkon činnosti vedúceho pedagogického zamestnanca alebo výkon činnosti vedúceho odborného zamestnanca, získavania profesijných kompetencií vyššieho </w:t>
      </w:r>
      <w:proofErr w:type="spellStart"/>
      <w:r w:rsidRPr="006E53E8">
        <w:rPr>
          <w:color w:val="000000" w:themeColor="text1"/>
          <w:sz w:val="22"/>
          <w:szCs w:val="22"/>
        </w:rPr>
        <w:t>kariérového</w:t>
      </w:r>
      <w:proofErr w:type="spellEnd"/>
      <w:r w:rsidRPr="006E53E8">
        <w:rPr>
          <w:color w:val="000000" w:themeColor="text1"/>
          <w:sz w:val="22"/>
          <w:szCs w:val="22"/>
        </w:rPr>
        <w:t xml:space="preserve"> stupňa, overovania profesijných kompetencií na zaradenie do vyššieho </w:t>
      </w:r>
      <w:proofErr w:type="spellStart"/>
      <w:r w:rsidRPr="006E53E8">
        <w:rPr>
          <w:color w:val="000000" w:themeColor="text1"/>
          <w:sz w:val="22"/>
          <w:szCs w:val="22"/>
        </w:rPr>
        <w:t>kariérového</w:t>
      </w:r>
      <w:proofErr w:type="spellEnd"/>
      <w:r w:rsidRPr="006E53E8">
        <w:rPr>
          <w:color w:val="000000" w:themeColor="text1"/>
          <w:sz w:val="22"/>
          <w:szCs w:val="22"/>
        </w:rPr>
        <w:t xml:space="preserve"> stupňa, získavania vzdelania na splnenie kvalifikačných predpokladov na výkon ďalšej pracovnej činnosti alebo využívania a hodnotenia získaných profesijných kompetencií. Upravuje ho zákon č. 138/2019 Z. z. o pedagogických zamestnancoch a odborných zamestnancoch a o zmene a doplnení niektorých zákonov v znení neskorších predpisov (ďalej len „zákon č. 138/2019 Z. z.“).</w:t>
      </w:r>
    </w:p>
    <w:p w:rsidR="001E44B8" w:rsidRPr="006E53E8" w:rsidRDefault="001E44B8" w:rsidP="00040E98">
      <w:pPr>
        <w:pStyle w:val="Normlnywebov"/>
        <w:shd w:val="clear" w:color="auto" w:fill="FFFFFF"/>
        <w:spacing w:before="0" w:beforeAutospacing="0" w:after="480" w:afterAutospacing="0"/>
        <w:rPr>
          <w:color w:val="000000" w:themeColor="text1"/>
          <w:sz w:val="22"/>
          <w:szCs w:val="22"/>
        </w:rPr>
      </w:pPr>
      <w:r w:rsidRPr="006E53E8">
        <w:rPr>
          <w:color w:val="000000" w:themeColor="text1"/>
          <w:sz w:val="22"/>
          <w:szCs w:val="22"/>
        </w:rPr>
        <w:t>Profesijný rozvoj sa uskutočňuje prostredníctvom vzdelávania; za vzdelávanie sa považuje aj odborná stáž, tvorivej činnosti súvisiacej s výkonom pracovnej činnosti, najmä činnosti vedeckej, výskumnej, publikačnej alebo umeleckej, sebavzdelávania a výkonu pracovnej činnosti.</w:t>
      </w:r>
    </w:p>
    <w:p w:rsidR="001E44B8" w:rsidRPr="006E53E8" w:rsidRDefault="001E44B8" w:rsidP="00040E98">
      <w:pPr>
        <w:pStyle w:val="Normlnywebov"/>
        <w:shd w:val="clear" w:color="auto" w:fill="FFFFFF"/>
        <w:spacing w:before="0" w:beforeAutospacing="0" w:after="480" w:afterAutospacing="0"/>
        <w:rPr>
          <w:color w:val="000000" w:themeColor="text1"/>
          <w:sz w:val="22"/>
          <w:szCs w:val="22"/>
        </w:rPr>
      </w:pPr>
      <w:r w:rsidRPr="006E53E8">
        <w:rPr>
          <w:color w:val="000000" w:themeColor="text1"/>
          <w:sz w:val="22"/>
          <w:szCs w:val="22"/>
        </w:rPr>
        <w:t>Profesijný rozvoj sa realizuje podľa plánu profesijného rozvoja, ktorý vyplýva zo zamerania školy. Riaditeľka vydáva plán profesijného rozvoja po prerokovaní v pedagogickej rade, so súhlasom zástupcov zamestnancov a po schválení zriaďovateľom. Plán profesijného rozvoja je po prerokovaní možné dopĺňať a meniť v súlade s aktuálnymi potrebami školy.</w:t>
      </w:r>
    </w:p>
    <w:p w:rsidR="007C4B51" w:rsidRPr="006E53E8" w:rsidRDefault="007C4B51" w:rsidP="00040E98">
      <w:pPr>
        <w:pStyle w:val="Nadpis3"/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6E53E8">
        <w:rPr>
          <w:rStyle w:val="Siln"/>
          <w:rFonts w:ascii="Times New Roman" w:hAnsi="Times New Roman" w:cs="Times New Roman"/>
          <w:color w:val="000000" w:themeColor="text1"/>
          <w:sz w:val="22"/>
          <w:szCs w:val="22"/>
        </w:rPr>
        <w:t>Vzdelávanie pedagogických zamestnancov a odborných zamestnancov</w:t>
      </w:r>
    </w:p>
    <w:p w:rsidR="007C4B51" w:rsidRPr="006E53E8" w:rsidRDefault="007C4B51" w:rsidP="005226B2">
      <w:pPr>
        <w:pStyle w:val="Normlnywebov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E53E8">
        <w:rPr>
          <w:color w:val="000000" w:themeColor="text1"/>
          <w:sz w:val="22"/>
          <w:szCs w:val="22"/>
        </w:rPr>
        <w:t>Vzdelávanie pedagogických zamestnancov a odborných zamestnancov v profesijnom rozvoji sa organizuje ako:</w:t>
      </w:r>
    </w:p>
    <w:p w:rsidR="007C4B51" w:rsidRPr="006E53E8" w:rsidRDefault="007C4B51" w:rsidP="005226B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kvalifikačné vzdelávanie,</w:t>
      </w:r>
    </w:p>
    <w:p w:rsidR="007C4B51" w:rsidRPr="006E53E8" w:rsidRDefault="007C4B51" w:rsidP="005226B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funkčné vzdelávanie,</w:t>
      </w:r>
    </w:p>
    <w:p w:rsidR="007C4B51" w:rsidRPr="006E53E8" w:rsidRDefault="007C4B51" w:rsidP="005226B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špecializačné vzdelávanie,</w:t>
      </w:r>
    </w:p>
    <w:p w:rsidR="007C4B51" w:rsidRPr="006E53E8" w:rsidRDefault="007C4B51" w:rsidP="005226B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adaptačné vzdelávanie,</w:t>
      </w:r>
    </w:p>
    <w:p w:rsidR="007C4B51" w:rsidRPr="006E53E8" w:rsidRDefault="007C4B51" w:rsidP="005226B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proofErr w:type="spellStart"/>
      <w:r w:rsidRPr="006E53E8">
        <w:rPr>
          <w:rFonts w:ascii="Times New Roman" w:hAnsi="Times New Roman"/>
          <w:color w:val="000000" w:themeColor="text1"/>
        </w:rPr>
        <w:t>predatestačné</w:t>
      </w:r>
      <w:proofErr w:type="spellEnd"/>
      <w:r w:rsidRPr="006E53E8">
        <w:rPr>
          <w:rFonts w:ascii="Times New Roman" w:hAnsi="Times New Roman"/>
          <w:color w:val="000000" w:themeColor="text1"/>
        </w:rPr>
        <w:t xml:space="preserve"> vzdelávanie,</w:t>
      </w:r>
    </w:p>
    <w:p w:rsidR="007C4B51" w:rsidRPr="006E53E8" w:rsidRDefault="007C4B51" w:rsidP="005226B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lastRenderedPageBreak/>
        <w:t>inovačné vzdelávanie,</w:t>
      </w:r>
    </w:p>
    <w:p w:rsidR="007C4B51" w:rsidRPr="006E53E8" w:rsidRDefault="007C4B51" w:rsidP="005226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aktualizačné vzdelávanie.</w:t>
      </w:r>
    </w:p>
    <w:p w:rsidR="007C4B51" w:rsidRPr="007C4B51" w:rsidRDefault="007C4B51" w:rsidP="005226B2">
      <w:pPr>
        <w:pStyle w:val="Normlnywebov"/>
        <w:shd w:val="clear" w:color="auto" w:fill="FFFFFF"/>
        <w:spacing w:before="0" w:beforeAutospacing="0" w:after="480" w:afterAutospacing="0"/>
        <w:rPr>
          <w:color w:val="212529"/>
          <w:sz w:val="22"/>
          <w:szCs w:val="22"/>
        </w:rPr>
      </w:pPr>
    </w:p>
    <w:p w:rsidR="002B765A" w:rsidRPr="002B765A" w:rsidRDefault="002B765A" w:rsidP="005226B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</w:rPr>
      </w:pPr>
      <w:r w:rsidRPr="002B765A">
        <w:rPr>
          <w:rFonts w:ascii="Times New Roman" w:hAnsi="Times New Roman"/>
          <w:b/>
          <w:bCs/>
        </w:rPr>
        <w:t>Financovanie profesijného rozvoja</w:t>
      </w:r>
    </w:p>
    <w:p w:rsidR="002B765A" w:rsidRPr="006E53E8" w:rsidRDefault="002B765A" w:rsidP="005226B2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Pedagogický zamestnanec a odborný zamestnanec hradí náklady spojené: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s kvalifikačným vzdelávaním,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so základným programom, ktoré pedagogický zamestnanec a odborný zamestnanec neabsolvuje v súlade s plánom profesijného rozvoja,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s adaptačným vzdelávaním v organizácii zriadenej ministerstvom školstva podľa § 52 ods. 6,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s </w:t>
      </w:r>
      <w:proofErr w:type="spellStart"/>
      <w:r w:rsidRPr="006E53E8">
        <w:rPr>
          <w:rFonts w:ascii="Times New Roman" w:hAnsi="Times New Roman"/>
          <w:color w:val="000000" w:themeColor="text1"/>
        </w:rPr>
        <w:t>predatestačným</w:t>
      </w:r>
      <w:proofErr w:type="spellEnd"/>
      <w:r w:rsidRPr="006E53E8">
        <w:rPr>
          <w:rFonts w:ascii="Times New Roman" w:hAnsi="Times New Roman"/>
          <w:color w:val="000000" w:themeColor="text1"/>
        </w:rPr>
        <w:t xml:space="preserve"> vzdelávaním.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Ak ide o rozširujúce štúdium v súlade s plánom profesijného rozvoja, oprávnené náklady môže hradiť zamestnávateľ. Zamestnávateľ pedagogického zamestnanca alebo odborného zamestnanca hradí náklady spojené s aktualizačným vzdelávaním a náklady spojené s adaptačným vzdelávaním okrem nákladov spojených s adaptačným vzdelávaním podľa § 52 ods. 6.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Náklady spojené s modulmi rozširujúceho programu, so špecializačným vzdelávaním, s inovačným vzdelávaním, náklady spojené s vykonávaním atestácií a náklady spojené so základným programom okrem nákladov za program mimo plánu profesijného vzdelávania sú hradené: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pedagogickým zamestnancom alebo odborným zamestnancom,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zamestnávateľom alebo zriaďovateľom,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poskytovateľom,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z prostriedkov inej fyzickej osoby alebo právnickej osoby.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Náklady na vzdelávania môžu byť hradené </w:t>
      </w:r>
    </w:p>
    <w:p w:rsidR="002B765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zo štátneho rozpočtu, </w:t>
      </w:r>
    </w:p>
    <w:p w:rsidR="00F06A3A" w:rsidRPr="006E53E8" w:rsidRDefault="002B765A" w:rsidP="005226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• z prostriedkov Európskej únie.</w:t>
      </w:r>
    </w:p>
    <w:p w:rsidR="00F06A3A" w:rsidRPr="006E53E8" w:rsidRDefault="00387485" w:rsidP="005226B2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6E53E8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fldChar w:fldCharType="begin"/>
      </w:r>
      <w:r w:rsidR="00F06A3A" w:rsidRPr="006E53E8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instrText xml:space="preserve"> INCLUDEPICTURE "https://encrypted-tbn0.gstatic.com/faviconV2?url=https://cloud-5.edupage.org&amp;client=AIM&amp;size=128&amp;type=FAVICON&amp;fallback_opts=TYPE,SIZE,URL" \* MERGEFORMATINET </w:instrText>
      </w:r>
      <w:r w:rsidRPr="006E53E8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fldChar w:fldCharType="separate"/>
      </w:r>
      <w:r w:rsidRPr="006E53E8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sk-SK"/>
        </w:rPr>
      </w:r>
      <w:r w:rsidRPr="006E53E8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sk-SK"/>
        </w:rPr>
        <w:pict>
          <v:rect id="Pravouholník 1" o:spid="_x0000_s1026" alt="aSc EduPag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" filled="f" stroked="f">
            <o:lock v:ext="edit" aspectratio="t"/>
            <w10:wrap type="none"/>
            <w10:anchorlock/>
          </v:rect>
        </w:pict>
      </w:r>
      <w:r w:rsidRPr="006E53E8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fldChar w:fldCharType="end"/>
      </w:r>
    </w:p>
    <w:p w:rsidR="00F03A45" w:rsidRPr="006E53E8" w:rsidRDefault="00F03A45" w:rsidP="00040E98">
      <w:pPr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b/>
          <w:bCs/>
          <w:color w:val="000000" w:themeColor="text1"/>
        </w:rPr>
        <w:t>Pôsobnosť zamestnávateľa v profesijnom rozvoji</w:t>
      </w:r>
    </w:p>
    <w:p w:rsidR="00F03A45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Zamestnávateľ podporuje profesijný rozvoj pedagogických zamestnancov a odborných zamestnancov v súlade s </w:t>
      </w:r>
    </w:p>
    <w:p w:rsidR="00F03A45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potrebami školy, školského zariadenia </w:t>
      </w:r>
    </w:p>
    <w:p w:rsidR="00F03A45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odbornými a spoločenskými požiadavkami na výkon pracovnej činnosti </w:t>
      </w:r>
    </w:p>
    <w:p w:rsidR="00F03A45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individuálnymi potrebami pedagogického zamestnanca a odborného zamestnanca. </w:t>
      </w:r>
    </w:p>
    <w:p w:rsidR="00F03A45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Zamestnávateľ podporuje profesijný rozvoj: </w:t>
      </w:r>
    </w:p>
    <w:p w:rsidR="00F03A45" w:rsidRPr="006E53E8" w:rsidRDefault="00F03A45" w:rsidP="00340622">
      <w:pPr>
        <w:pStyle w:val="Odsekzoznamu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b/>
          <w:bCs/>
          <w:color w:val="000000" w:themeColor="text1"/>
        </w:rPr>
        <w:t>priznaním príplatku za profesijný rozvoj</w:t>
      </w:r>
      <w:r w:rsidRPr="006E53E8">
        <w:rPr>
          <w:rFonts w:ascii="Times New Roman" w:hAnsi="Times New Roman"/>
          <w:color w:val="000000" w:themeColor="text1"/>
        </w:rPr>
        <w:t xml:space="preserve"> po úspešnom ukončení adaptačného vzdelávania za úspešné absolvovanie: </w:t>
      </w:r>
    </w:p>
    <w:p w:rsidR="00F03A45" w:rsidRPr="006E53E8" w:rsidRDefault="00F03A45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rozširujúceho štúdia okrem rozširujúceho štúdia špeciálnej pedagogiky pedagogického zamestnanca školy pre deti a žiakov so špeciálnymi výchovno-vzdelávacími potrebami a pedagogického zamestnanca zariadenia sociálnej pomoci </w:t>
      </w:r>
    </w:p>
    <w:p w:rsidR="00F03A45" w:rsidRPr="006E53E8" w:rsidRDefault="00F03A45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štátnej jazykovej skúšky </w:t>
      </w:r>
    </w:p>
    <w:p w:rsidR="00F03A45" w:rsidRPr="006E53E8" w:rsidRDefault="00F03A45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špecializačného vzdelávania na výkon špecializovaných činností v </w:t>
      </w:r>
      <w:proofErr w:type="spellStart"/>
      <w:r w:rsidRPr="006E53E8">
        <w:rPr>
          <w:rFonts w:ascii="Times New Roman" w:hAnsi="Times New Roman"/>
          <w:color w:val="000000" w:themeColor="text1"/>
        </w:rPr>
        <w:t>kariérových</w:t>
      </w:r>
      <w:proofErr w:type="spellEnd"/>
      <w:r w:rsidRPr="006E53E8">
        <w:rPr>
          <w:rFonts w:ascii="Times New Roman" w:hAnsi="Times New Roman"/>
          <w:color w:val="000000" w:themeColor="text1"/>
        </w:rPr>
        <w:t xml:space="preserve"> pozíciách podľa § 36 ods. 1 písm. b) až h), k) až m) a § 36 ods. 2 písm. b) až d) a v súlade so štruktúrou </w:t>
      </w:r>
      <w:proofErr w:type="spellStart"/>
      <w:r w:rsidRPr="006E53E8">
        <w:rPr>
          <w:rFonts w:ascii="Times New Roman" w:hAnsi="Times New Roman"/>
          <w:color w:val="000000" w:themeColor="text1"/>
        </w:rPr>
        <w:t>kariérových</w:t>
      </w:r>
      <w:proofErr w:type="spellEnd"/>
      <w:r w:rsidRPr="006E53E8">
        <w:rPr>
          <w:rFonts w:ascii="Times New Roman" w:hAnsi="Times New Roman"/>
          <w:color w:val="000000" w:themeColor="text1"/>
        </w:rPr>
        <w:t xml:space="preserve"> pozícií školy, školského zariadenia alebo zariadenia sociálnej pomoci </w:t>
      </w:r>
    </w:p>
    <w:p w:rsidR="00F03A45" w:rsidRPr="006E53E8" w:rsidRDefault="00F03A45" w:rsidP="00340622">
      <w:pPr>
        <w:pStyle w:val="Odsekzoznamu"/>
        <w:spacing w:line="240" w:lineRule="auto"/>
        <w:ind w:left="0"/>
        <w:rPr>
          <w:rFonts w:ascii="Times New Roman" w:hAnsi="Times New Roman"/>
          <w:b/>
          <w:bCs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• inovačného vzdelávania za každých 50 hodín; </w:t>
      </w:r>
      <w:r w:rsidRPr="006E53E8">
        <w:rPr>
          <w:rFonts w:ascii="Times New Roman" w:hAnsi="Times New Roman"/>
          <w:b/>
          <w:bCs/>
          <w:color w:val="000000" w:themeColor="text1"/>
        </w:rPr>
        <w:t>to neplatí, ak ide o inovačné vzdelávanie v oblasti pedagogiky predprimárneho vzdelávania absolvované učiteľom materskej školy</w:t>
      </w:r>
      <w:r w:rsidR="00F104CC" w:rsidRPr="006E53E8">
        <w:rPr>
          <w:rFonts w:ascii="Times New Roman" w:hAnsi="Times New Roman"/>
          <w:b/>
          <w:bCs/>
          <w:color w:val="000000" w:themeColor="text1"/>
        </w:rPr>
        <w:t xml:space="preserve"> *</w:t>
      </w:r>
    </w:p>
    <w:p w:rsidR="00F03A45" w:rsidRPr="006E53E8" w:rsidRDefault="00F03A45" w:rsidP="00340622">
      <w:pPr>
        <w:pStyle w:val="Odsekzoznamu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poskytnutím pracovného voľna na profesijný rozvoj podľa § 82, </w:t>
      </w:r>
    </w:p>
    <w:p w:rsidR="00340622" w:rsidRPr="006E53E8" w:rsidRDefault="00340622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</w:p>
    <w:p w:rsidR="00F104CC" w:rsidRPr="006E53E8" w:rsidRDefault="00F104CC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* so stredoškolským vzdelaním</w:t>
      </w:r>
    </w:p>
    <w:p w:rsidR="00F104CC" w:rsidRPr="006E53E8" w:rsidRDefault="00F104CC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</w:p>
    <w:p w:rsidR="00F03A45" w:rsidRPr="006E53E8" w:rsidRDefault="00F03A45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lastRenderedPageBreak/>
        <w:t xml:space="preserve">Pedagogickému zamestnancovi a odbornému zamestnancovi patrí pracovné voľno s náhradou funkčného platu v rozsahu </w:t>
      </w:r>
    </w:p>
    <w:p w:rsidR="00F03A45" w:rsidRPr="006E53E8" w:rsidRDefault="00F03A45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- päť pracovných dní v kalendárnom roku na profesijný rozvoj podľa § 40 ods. 3 písm. a) a b) (odborná stáž, tvorivá činnosť súvisiac aj s výkonom pracovnej činnosti, najmä činnosti vedeckej, výskumnej, publikačnej alebo umeleckej)</w:t>
      </w:r>
    </w:p>
    <w:p w:rsidR="00F03A45" w:rsidRPr="006E53E8" w:rsidRDefault="00F03A45" w:rsidP="00340622">
      <w:pPr>
        <w:pStyle w:val="Odsekzoznamu"/>
        <w:spacing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 - ďalších päť pracovných dní na prípravu a vykonanie prvej atestácie alebo druhej atestácie, </w:t>
      </w:r>
    </w:p>
    <w:p w:rsidR="00F03A45" w:rsidRPr="006E53E8" w:rsidRDefault="00F03A45" w:rsidP="00340622">
      <w:pPr>
        <w:pStyle w:val="Odsekzoznamu"/>
        <w:spacing w:after="0" w:line="240" w:lineRule="auto"/>
        <w:ind w:left="0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- ďalších päť pracovných dní na účasť na rozširujúcom module funkčného vzdelávania, ak ide o riaditeľa, vedúceho pedagogického zamestnanca a vedúceho odborného zamestnanca. </w:t>
      </w:r>
    </w:p>
    <w:p w:rsidR="00340622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3. poskytovaním adaptačného vzdelávania v pracovnom čase začínajúceho pedagogického zamestnanca alebo začínajúceho odborného zamestnanca</w:t>
      </w:r>
    </w:p>
    <w:p w:rsidR="00F03A45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4. organizovaním aktualizačného vzdelávania v pracovnom čase pedagogických zamestnancov a odborných zamestnancov. </w:t>
      </w:r>
    </w:p>
    <w:p w:rsidR="00F06A3A" w:rsidRPr="006E53E8" w:rsidRDefault="00F03A45" w:rsidP="003406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>Súlad profesijného rozvoja pedagogického zamestnanca a odborného zamestnanca s potrebami školy, školského zariadenia sa vyznačí v pláne profesijného rozvoja.</w:t>
      </w:r>
    </w:p>
    <w:p w:rsidR="00040E98" w:rsidRPr="006E53E8" w:rsidRDefault="00040E98" w:rsidP="00340622">
      <w:pPr>
        <w:spacing w:line="240" w:lineRule="auto"/>
        <w:rPr>
          <w:rFonts w:ascii="Times New Roman" w:hAnsi="Times New Roman"/>
          <w:color w:val="000000" w:themeColor="text1"/>
        </w:rPr>
      </w:pPr>
    </w:p>
    <w:p w:rsidR="00040E98" w:rsidRPr="006E53E8" w:rsidRDefault="00040E98" w:rsidP="00040E98">
      <w:pPr>
        <w:pStyle w:val="Nadpis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E53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Príplatok za profesijný rozvoj pedagogického zamestnanca a odborného zamestnanca</w:t>
      </w:r>
    </w:p>
    <w:p w:rsidR="00040E98" w:rsidRPr="006E53E8" w:rsidRDefault="00040E98" w:rsidP="00040E98">
      <w:pPr>
        <w:spacing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Podľa § 14e zákona 553/2003 </w:t>
      </w:r>
      <w:proofErr w:type="spellStart"/>
      <w:r w:rsidRPr="006E53E8">
        <w:rPr>
          <w:rFonts w:ascii="Times New Roman" w:hAnsi="Times New Roman"/>
          <w:color w:val="000000" w:themeColor="text1"/>
        </w:rPr>
        <w:t>Z.z</w:t>
      </w:r>
      <w:proofErr w:type="spellEnd"/>
      <w:r w:rsidRPr="006E53E8">
        <w:rPr>
          <w:rFonts w:ascii="Times New Roman" w:hAnsi="Times New Roman"/>
          <w:color w:val="000000" w:themeColor="text1"/>
        </w:rPr>
        <w:t xml:space="preserve"> o odmeňovaní </w:t>
      </w:r>
      <w:proofErr w:type="spellStart"/>
      <w:r w:rsidRPr="006E53E8">
        <w:rPr>
          <w:rFonts w:ascii="Times New Roman" w:hAnsi="Times New Roman"/>
          <w:color w:val="000000" w:themeColor="text1"/>
        </w:rPr>
        <w:t>zamestancov</w:t>
      </w:r>
      <w:proofErr w:type="spellEnd"/>
      <w:r w:rsidRPr="006E53E8">
        <w:rPr>
          <w:rFonts w:ascii="Times New Roman" w:hAnsi="Times New Roman"/>
          <w:color w:val="000000" w:themeColor="text1"/>
        </w:rPr>
        <w:t xml:space="preserve"> príplatok za profesijný rozvoj patrí: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(1)</w:t>
      </w:r>
      <w:r w:rsidRPr="006E53E8">
        <w:rPr>
          <w:color w:val="000000" w:themeColor="text1"/>
          <w:sz w:val="22"/>
          <w:szCs w:val="22"/>
        </w:rPr>
        <w:t> Pedagogickému zamestnancovi a odbornému zamestnancovi patrí príplatok za profesijný rozvoj v sume</w:t>
      </w:r>
    </w:p>
    <w:p w:rsidR="00040E98" w:rsidRPr="006E53E8" w:rsidRDefault="00040E98" w:rsidP="00040E98">
      <w:pPr>
        <w:pStyle w:val="l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a)</w:t>
      </w:r>
      <w:r w:rsidRPr="006E53E8">
        <w:rPr>
          <w:color w:val="000000" w:themeColor="text1"/>
          <w:sz w:val="22"/>
          <w:szCs w:val="22"/>
        </w:rPr>
        <w:t> 12 % z platovej tarify platovej triedy a pracovnej triedy, do ktorej je zaradený, za úspešné absolvovanie rozširujúceho štúdia podľa osobitného predpisu,</w:t>
      </w:r>
    </w:p>
    <w:p w:rsidR="00040E98" w:rsidRPr="006E53E8" w:rsidRDefault="00040E98" w:rsidP="00040E98">
      <w:pPr>
        <w:pStyle w:val="l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b)</w:t>
      </w:r>
      <w:r w:rsidRPr="006E53E8">
        <w:rPr>
          <w:color w:val="000000" w:themeColor="text1"/>
          <w:sz w:val="22"/>
          <w:szCs w:val="22"/>
        </w:rPr>
        <w:t> 12 % z platovej tarify platovej triedy a pracovnej triedy, do ktorej je zaradený, za úspešné absolvovanie štátnej jazykovej skúšky podľa osobitného predpisu,</w:t>
      </w:r>
    </w:p>
    <w:p w:rsidR="00040E98" w:rsidRPr="006E53E8" w:rsidRDefault="00040E98" w:rsidP="00040E98">
      <w:pPr>
        <w:pStyle w:val="l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c)</w:t>
      </w:r>
      <w:r w:rsidRPr="006E53E8">
        <w:rPr>
          <w:color w:val="000000" w:themeColor="text1"/>
          <w:sz w:val="22"/>
          <w:szCs w:val="22"/>
        </w:rPr>
        <w:t> 3 % z platovej tarify platovej triedy a pracovnej triedy, do ktorej je zaradený, za úspešné absolvovanie špecializačného vzdelávania podľa osobitného predpisu,</w:t>
      </w:r>
    </w:p>
    <w:p w:rsidR="00040E98" w:rsidRPr="006E53E8" w:rsidRDefault="00040E98" w:rsidP="00040E98">
      <w:pPr>
        <w:pStyle w:val="l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d)</w:t>
      </w:r>
      <w:r w:rsidRPr="006E53E8">
        <w:rPr>
          <w:color w:val="000000" w:themeColor="text1"/>
          <w:sz w:val="22"/>
          <w:szCs w:val="22"/>
        </w:rPr>
        <w:t> 3 % z platovej tarify platovej triedy a pracovnej triedy, do ktorej je zaradený, za úspešné absolvovanie inovačného vzdelávania podľa osobitného predpisu.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(2)</w:t>
      </w:r>
      <w:r w:rsidRPr="006E53E8">
        <w:rPr>
          <w:color w:val="000000" w:themeColor="text1"/>
          <w:sz w:val="22"/>
          <w:szCs w:val="22"/>
        </w:rPr>
        <w:t> Príplatok za profesijný rozvoj zamestnávateľ prizná na dobu siedmich rokov najviac v sume 12 % z platovej tarify platovej triedy a pracovnej triedy, do ktorej je pedagogický zamestnanec alebo odborný zamestnanec zaradený.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(3)</w:t>
      </w:r>
      <w:r w:rsidRPr="006E53E8">
        <w:rPr>
          <w:color w:val="000000" w:themeColor="text1"/>
          <w:sz w:val="22"/>
          <w:szCs w:val="22"/>
        </w:rPr>
        <w:t> Príplatok za profesijný rozvoj podľa odseku 1 zamestnávateľ prizná od prvého dňa kalendárneho mesiaca nasledujúceho po mesiaci, v ktorom pedagogický zamestnanec a odborný zamestnanec požiadal o priznanie príplatku za profesijný rozvoj. Príplatok za profesijný rozvoj sa určí pevnou sumou zaokrúhlenou na 50 eurocentov nahor.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(4)</w:t>
      </w:r>
      <w:r w:rsidRPr="006E53E8">
        <w:rPr>
          <w:color w:val="000000" w:themeColor="text1"/>
          <w:sz w:val="22"/>
          <w:szCs w:val="22"/>
        </w:rPr>
        <w:t> Riaditeľovi školy a riaditeľovi školského zariadenia prizná príplatok za profesijný rozvoj zriaďovateľ.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(5)</w:t>
      </w:r>
      <w:r w:rsidRPr="006E53E8">
        <w:rPr>
          <w:color w:val="000000" w:themeColor="text1"/>
          <w:sz w:val="22"/>
          <w:szCs w:val="22"/>
        </w:rPr>
        <w:t> Zamestnávateľ príplatok za profesijný rozvoj pedagogickému zamestnancovi a odbornému zamestnancovi odoberie alebo zníži od prvého dňa nasledujúceho po uplynutí siedmich rokov od jeho priznania.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(6)</w:t>
      </w:r>
      <w:r w:rsidRPr="006E53E8">
        <w:rPr>
          <w:color w:val="000000" w:themeColor="text1"/>
          <w:sz w:val="22"/>
          <w:szCs w:val="22"/>
        </w:rPr>
        <w:t> Príplatok za profesijný rozvoj nepatrí pedagogickému zamestnancovi a odbornému zamestnancovi, ktorý nespĺňa kvalifikačné predpoklady na výkon pracovnej činnosti podľa osobitného predpisu.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(7)</w:t>
      </w:r>
      <w:r w:rsidRPr="006E53E8">
        <w:rPr>
          <w:color w:val="000000" w:themeColor="text1"/>
          <w:sz w:val="22"/>
          <w:szCs w:val="22"/>
        </w:rPr>
        <w:t> Príplatok za profesijný rozvoj nepatrí začínajúcemu pedagogickému zamestnancovi a začínajúcemu odbornému zamestnancovi.</w:t>
      </w:r>
    </w:p>
    <w:p w:rsidR="00040E98" w:rsidRPr="006E53E8" w:rsidRDefault="00040E98" w:rsidP="00040E98">
      <w:pPr>
        <w:pStyle w:val="l4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53E8">
        <w:rPr>
          <w:rStyle w:val="PremennHTML"/>
          <w:rFonts w:eastAsiaTheme="majorEastAsia"/>
          <w:b/>
          <w:bCs/>
          <w:i w:val="0"/>
          <w:iCs w:val="0"/>
          <w:color w:val="000000" w:themeColor="text1"/>
          <w:sz w:val="22"/>
          <w:szCs w:val="22"/>
        </w:rPr>
        <w:t>(8)</w:t>
      </w:r>
      <w:r w:rsidRPr="006E53E8">
        <w:rPr>
          <w:color w:val="000000" w:themeColor="text1"/>
          <w:sz w:val="22"/>
          <w:szCs w:val="22"/>
        </w:rPr>
        <w:t> Pri zmene zamestnávateľa postupuje nový zamestnávateľ pri priznávaní príplatku za profesijný rozvoj pedagogickému zamestnancovi alebo odbornému zamestnancovi podľa odseku 1 a zohľadňuje dobu podľa odseku 2 uplynutú u predchádzajúceho zamestnávateľa.</w:t>
      </w:r>
    </w:p>
    <w:p w:rsidR="009E2096" w:rsidRPr="006E53E8" w:rsidRDefault="009E2096" w:rsidP="00040E98">
      <w:pPr>
        <w:spacing w:line="240" w:lineRule="auto"/>
        <w:rPr>
          <w:rFonts w:ascii="Times New Roman" w:hAnsi="Times New Roman"/>
          <w:color w:val="000000" w:themeColor="text1"/>
        </w:rPr>
      </w:pPr>
    </w:p>
    <w:p w:rsidR="009E2096" w:rsidRPr="006E53E8" w:rsidRDefault="009E2096" w:rsidP="0034062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6E53E8">
        <w:rPr>
          <w:rFonts w:ascii="Times New Roman" w:hAnsi="Times New Roman"/>
          <w:b/>
          <w:bCs/>
          <w:color w:val="000000" w:themeColor="text1"/>
        </w:rPr>
        <w:t>Článok IV.</w:t>
      </w:r>
    </w:p>
    <w:p w:rsidR="009E2096" w:rsidRPr="006E53E8" w:rsidRDefault="009E2096" w:rsidP="0034062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6E53E8">
        <w:rPr>
          <w:rFonts w:ascii="Times New Roman" w:hAnsi="Times New Roman"/>
          <w:b/>
          <w:bCs/>
          <w:color w:val="000000" w:themeColor="text1"/>
        </w:rPr>
        <w:t>Prechodné ustanovenia</w:t>
      </w:r>
    </w:p>
    <w:p w:rsidR="009E2096" w:rsidRPr="006E53E8" w:rsidRDefault="009E2096" w:rsidP="00040E98">
      <w:pPr>
        <w:spacing w:line="240" w:lineRule="auto"/>
        <w:rPr>
          <w:rFonts w:ascii="Times New Roman" w:hAnsi="Times New Roman"/>
          <w:b/>
          <w:bCs/>
          <w:color w:val="000000" w:themeColor="text1"/>
        </w:rPr>
      </w:pPr>
      <w:r w:rsidRPr="006E53E8">
        <w:rPr>
          <w:rFonts w:ascii="Times New Roman" w:hAnsi="Times New Roman"/>
          <w:b/>
          <w:bCs/>
          <w:color w:val="000000" w:themeColor="text1"/>
        </w:rPr>
        <w:t xml:space="preserve">Kreditový príplatok priznaný pedagogickému zamestnancovi alebo odbornému zamestnancovi podľa predpisov účinných do 31. augusta 2019 sa považuje za príplatok za profesijný rozvoj a vypláca sa do 31. augusta 2026. </w:t>
      </w:r>
    </w:p>
    <w:p w:rsidR="00E662B1" w:rsidRPr="006E53E8" w:rsidRDefault="00E662B1" w:rsidP="00040E98">
      <w:pPr>
        <w:spacing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lastRenderedPageBreak/>
        <w:t xml:space="preserve">Podľa § 10 </w:t>
      </w:r>
      <w:proofErr w:type="spellStart"/>
      <w:r w:rsidRPr="006E53E8">
        <w:rPr>
          <w:rFonts w:ascii="Times New Roman" w:hAnsi="Times New Roman"/>
          <w:color w:val="000000" w:themeColor="text1"/>
        </w:rPr>
        <w:t>ods</w:t>
      </w:r>
      <w:proofErr w:type="spellEnd"/>
      <w:r w:rsidRPr="006E53E8">
        <w:rPr>
          <w:rFonts w:ascii="Times New Roman" w:hAnsi="Times New Roman"/>
          <w:color w:val="000000" w:themeColor="text1"/>
        </w:rPr>
        <w:t xml:space="preserve"> 4 zákona č.138/2019 platí: Ak ide o učiteľa materskej školy, ktorý nezískal vysokoškolské vzdelanie, vyžaduje sa okrem splnenia kvalifikačných predpokladov aj absolvovanie inovačného vzdelávania v oblasti pedagogiky predprimárneho vzdelávania v rozsahu 50 až 100 hodín; učiteľ materskej školy ho absolvuje do siedmich rokov od začiatku výkonu pracovnej činnosti pedagogického zamestnanca. Inovačné vzdelávanie v oblasti pedagogiky predprimárneho vzdelávania učiteľ materskej školy, ktorý nezískal vysokoškolské vzdelanie, absolvuje každých sedem rokov.</w:t>
      </w:r>
    </w:p>
    <w:p w:rsidR="00E662B1" w:rsidRPr="006E53E8" w:rsidRDefault="00E662B1" w:rsidP="00040E98">
      <w:pPr>
        <w:spacing w:line="240" w:lineRule="auto"/>
        <w:rPr>
          <w:rFonts w:ascii="Times New Roman" w:hAnsi="Times New Roman"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Podľa § 90f zákona č.138/2019: </w:t>
      </w:r>
    </w:p>
    <w:p w:rsidR="00E662B1" w:rsidRPr="006E53E8" w:rsidRDefault="00E662B1" w:rsidP="00040E98">
      <w:pPr>
        <w:spacing w:line="240" w:lineRule="auto"/>
        <w:rPr>
          <w:rFonts w:ascii="Times New Roman" w:hAnsi="Times New Roman"/>
          <w:b/>
          <w:bCs/>
          <w:color w:val="000000" w:themeColor="text1"/>
        </w:rPr>
      </w:pPr>
      <w:r w:rsidRPr="006E53E8">
        <w:rPr>
          <w:rFonts w:ascii="Times New Roman" w:hAnsi="Times New Roman"/>
          <w:color w:val="000000" w:themeColor="text1"/>
        </w:rPr>
        <w:t xml:space="preserve">Učiteľ materskej školy, ktorý nezískal vysokoškolské vzdelanie, absolvuje inovačné vzdelávanie v oblasti pedagogiky predprimárneho vzdelávania v rozsahu 50 až 100 hodín </w:t>
      </w:r>
      <w:r w:rsidRPr="006E53E8">
        <w:rPr>
          <w:rFonts w:ascii="Times New Roman" w:hAnsi="Times New Roman"/>
          <w:b/>
          <w:bCs/>
          <w:color w:val="000000" w:themeColor="text1"/>
        </w:rPr>
        <w:t>do 31. augusta 2030.</w:t>
      </w:r>
    </w:p>
    <w:sectPr w:rsidR="00E662B1" w:rsidRPr="006E53E8" w:rsidSect="003874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0B" w:rsidRDefault="0032660B" w:rsidP="00F06A3A">
      <w:pPr>
        <w:spacing w:after="0" w:line="240" w:lineRule="auto"/>
      </w:pPr>
      <w:r>
        <w:separator/>
      </w:r>
    </w:p>
  </w:endnote>
  <w:endnote w:type="continuationSeparator" w:id="1">
    <w:p w:rsidR="0032660B" w:rsidRDefault="0032660B" w:rsidP="00F0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0B" w:rsidRDefault="0032660B" w:rsidP="00F06A3A">
      <w:pPr>
        <w:spacing w:after="0" w:line="240" w:lineRule="auto"/>
      </w:pPr>
      <w:r>
        <w:separator/>
      </w:r>
    </w:p>
  </w:footnote>
  <w:footnote w:type="continuationSeparator" w:id="1">
    <w:p w:rsidR="0032660B" w:rsidRDefault="0032660B" w:rsidP="00F0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3A" w:rsidRPr="00E601B6" w:rsidRDefault="00F06A3A" w:rsidP="00F06A3A">
    <w:pPr>
      <w:pStyle w:val="Hlavika"/>
      <w:pBdr>
        <w:bottom w:val="single" w:sz="4" w:space="1" w:color="auto"/>
      </w:pBdr>
      <w:jc w:val="right"/>
      <w:rPr>
        <w:rFonts w:ascii="Times New Roman" w:hAnsi="Times New Roman"/>
        <w:bCs/>
        <w:iCs/>
      </w:rPr>
    </w:pPr>
    <w:r w:rsidRPr="00E601B6">
      <w:rPr>
        <w:rFonts w:ascii="Times New Roman" w:hAnsi="Times New Roman"/>
        <w:bCs/>
        <w:iCs/>
      </w:rPr>
      <w:t>Materská škola, L. Novomeského 1209/2, Senica</w:t>
    </w:r>
  </w:p>
  <w:p w:rsidR="00F06A3A" w:rsidRPr="00E601B6" w:rsidRDefault="00F06A3A" w:rsidP="00F06A3A">
    <w:pPr>
      <w:pStyle w:val="Hlavika"/>
      <w:pBdr>
        <w:bottom w:val="single" w:sz="4" w:space="1" w:color="auto"/>
      </w:pBdr>
      <w:jc w:val="center"/>
      <w:rPr>
        <w:rFonts w:ascii="Times New Roman" w:hAnsi="Times New Roman"/>
        <w:b/>
        <w:iCs/>
      </w:rPr>
    </w:pPr>
    <w:r>
      <w:rPr>
        <w:rFonts w:ascii="Times New Roman" w:hAnsi="Times New Roman"/>
        <w:b/>
        <w:iCs/>
      </w:rPr>
      <w:t xml:space="preserve">                                                                                                                                                   Vnútorná smernica</w:t>
    </w:r>
  </w:p>
  <w:p w:rsidR="00F06A3A" w:rsidRDefault="00F06A3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0B8B"/>
    <w:multiLevelType w:val="multilevel"/>
    <w:tmpl w:val="2890A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50D8E"/>
    <w:multiLevelType w:val="hybridMultilevel"/>
    <w:tmpl w:val="FA008F46"/>
    <w:lvl w:ilvl="0" w:tplc="D0BAED22">
      <w:start w:val="1"/>
      <w:numFmt w:val="decimal"/>
      <w:lvlText w:val="%1."/>
      <w:lvlJc w:val="left"/>
      <w:pPr>
        <w:ind w:left="420" w:hanging="360"/>
      </w:pPr>
      <w:rPr>
        <w:rFonts w:ascii="Trebuchet MS" w:hAnsi="Trebuchet MS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DD53E00"/>
    <w:multiLevelType w:val="multilevel"/>
    <w:tmpl w:val="8722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54FD"/>
    <w:multiLevelType w:val="multilevel"/>
    <w:tmpl w:val="576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16C86"/>
    <w:multiLevelType w:val="hybridMultilevel"/>
    <w:tmpl w:val="2770440E"/>
    <w:lvl w:ilvl="0" w:tplc="833ACE8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3319C"/>
    <w:multiLevelType w:val="multilevel"/>
    <w:tmpl w:val="C3EE2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10E69"/>
    <w:multiLevelType w:val="hybridMultilevel"/>
    <w:tmpl w:val="0FD25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C3846"/>
    <w:multiLevelType w:val="multilevel"/>
    <w:tmpl w:val="383C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A3A"/>
    <w:rsid w:val="00040E98"/>
    <w:rsid w:val="001E44B8"/>
    <w:rsid w:val="002B765A"/>
    <w:rsid w:val="0032660B"/>
    <w:rsid w:val="00340622"/>
    <w:rsid w:val="00387485"/>
    <w:rsid w:val="003E3FB2"/>
    <w:rsid w:val="0046135A"/>
    <w:rsid w:val="004E42C8"/>
    <w:rsid w:val="005226B2"/>
    <w:rsid w:val="006107D2"/>
    <w:rsid w:val="006E53E8"/>
    <w:rsid w:val="006F066C"/>
    <w:rsid w:val="007C4B51"/>
    <w:rsid w:val="009E2096"/>
    <w:rsid w:val="009F7562"/>
    <w:rsid w:val="00A70461"/>
    <w:rsid w:val="00B40673"/>
    <w:rsid w:val="00B64D90"/>
    <w:rsid w:val="00B75A6F"/>
    <w:rsid w:val="00C944E8"/>
    <w:rsid w:val="00E662B1"/>
    <w:rsid w:val="00F03A45"/>
    <w:rsid w:val="00F06A3A"/>
    <w:rsid w:val="00F1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6A3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6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6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6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6A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6A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6A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6A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6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6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6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6A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6A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6A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6A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6A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6A3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6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6A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6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6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6A3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6A3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6A3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6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6A3A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F06A3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06A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06A3A"/>
    <w:rPr>
      <w:rFonts w:ascii="Calibri" w:eastAsia="Calibri" w:hAnsi="Calibri" w:cs="Times New Roman"/>
      <w:kern w:val="0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0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6A3A"/>
    <w:rPr>
      <w:rFonts w:ascii="Calibri" w:eastAsia="Calibri" w:hAnsi="Calibri" w:cs="Times New Roman"/>
      <w:kern w:val="0"/>
      <w:sz w:val="22"/>
      <w:szCs w:val="22"/>
    </w:rPr>
  </w:style>
  <w:style w:type="character" w:customStyle="1" w:styleId="t286pc">
    <w:name w:val="t286pc"/>
    <w:basedOn w:val="Predvolenpsmoodseku"/>
    <w:rsid w:val="00F06A3A"/>
  </w:style>
  <w:style w:type="character" w:customStyle="1" w:styleId="vkekvd">
    <w:name w:val="vkekvd"/>
    <w:basedOn w:val="Predvolenpsmoodseku"/>
    <w:rsid w:val="00F06A3A"/>
  </w:style>
  <w:style w:type="character" w:customStyle="1" w:styleId="ifmvxd">
    <w:name w:val="ifmvxd"/>
    <w:basedOn w:val="Predvolenpsmoodseku"/>
    <w:rsid w:val="00F06A3A"/>
  </w:style>
  <w:style w:type="character" w:customStyle="1" w:styleId="ijm6od">
    <w:name w:val="ijm6od"/>
    <w:basedOn w:val="Predvolenpsmoodseku"/>
    <w:rsid w:val="00F06A3A"/>
  </w:style>
  <w:style w:type="paragraph" w:styleId="Normlnywebov">
    <w:name w:val="Normal (Web)"/>
    <w:basedOn w:val="Normlny"/>
    <w:uiPriority w:val="99"/>
    <w:semiHidden/>
    <w:unhideWhenUsed/>
    <w:rsid w:val="00610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107D2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6107D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07D2"/>
    <w:rPr>
      <w:color w:val="96607D" w:themeColor="followedHyperlink"/>
      <w:u w:val="single"/>
    </w:rPr>
  </w:style>
  <w:style w:type="paragraph" w:customStyle="1" w:styleId="l4">
    <w:name w:val="l4"/>
    <w:basedOn w:val="Normlny"/>
    <w:rsid w:val="00040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040E98"/>
    <w:rPr>
      <w:i/>
      <w:iCs/>
    </w:rPr>
  </w:style>
  <w:style w:type="paragraph" w:customStyle="1" w:styleId="l5">
    <w:name w:val="l5"/>
    <w:basedOn w:val="Normlny"/>
    <w:rsid w:val="00040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ektor.sk/sk/predpisy/predpis-138-2019-z-z.p-373.html?show=p&amp;paragraf=23&amp;aspi_date=05.05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rektor.sk/sk/predpisy/predpis-138-2019-z-z.p-373.html?show=p&amp;paragraf=19&amp;aspi_date=05.05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Haslová</dc:creator>
  <cp:keywords/>
  <dc:description/>
  <cp:lastModifiedBy>Windows User</cp:lastModifiedBy>
  <cp:revision>19</cp:revision>
  <dcterms:created xsi:type="dcterms:W3CDTF">2026-02-20T15:57:00Z</dcterms:created>
  <dcterms:modified xsi:type="dcterms:W3CDTF">2026-02-23T06:26:00Z</dcterms:modified>
</cp:coreProperties>
</file>